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351E" w:rsidRPr="00DD5994" w:rsidRDefault="00BC3D58" w:rsidP="006C351E">
      <w:pPr>
        <w:pStyle w:val="Default"/>
        <w:jc w:val="center"/>
        <w:rPr>
          <w:rFonts w:asciiTheme="minorHAnsi" w:hAnsiTheme="minorHAnsi" w:cstheme="minorHAnsi"/>
          <w:b/>
          <w:bCs/>
          <w:sz w:val="22"/>
          <w:szCs w:val="22"/>
        </w:rPr>
      </w:pPr>
      <w:bookmarkStart w:id="0" w:name="_GoBack"/>
      <w:bookmarkEnd w:id="0"/>
      <w:r w:rsidRPr="00DD5994">
        <w:rPr>
          <w:rFonts w:asciiTheme="minorHAnsi" w:hAnsiTheme="minorHAnsi" w:cstheme="minorHAnsi"/>
          <w:b/>
          <w:bCs/>
          <w:sz w:val="22"/>
          <w:szCs w:val="22"/>
        </w:rPr>
        <w:t xml:space="preserve">Atributos da </w:t>
      </w:r>
      <w:r w:rsidR="004F498C" w:rsidRPr="00DD5994">
        <w:rPr>
          <w:rFonts w:asciiTheme="minorHAnsi" w:hAnsiTheme="minorHAnsi" w:cstheme="minorHAnsi"/>
          <w:b/>
          <w:bCs/>
          <w:sz w:val="22"/>
          <w:szCs w:val="22"/>
        </w:rPr>
        <w:t>Proposta</w:t>
      </w:r>
      <w:r w:rsidR="00AC40AB" w:rsidRPr="00DD5994">
        <w:rPr>
          <w:rFonts w:asciiTheme="minorHAnsi" w:hAnsiTheme="minorHAnsi" w:cstheme="minorHAnsi"/>
          <w:b/>
          <w:bCs/>
          <w:sz w:val="22"/>
          <w:szCs w:val="22"/>
        </w:rPr>
        <w:t xml:space="preserve"> – Gás Natural</w:t>
      </w:r>
    </w:p>
    <w:p w:rsidR="004F498C" w:rsidRPr="00DD5994" w:rsidRDefault="004F498C" w:rsidP="004F498C">
      <w:pPr>
        <w:pStyle w:val="Default"/>
        <w:jc w:val="both"/>
        <w:rPr>
          <w:rFonts w:asciiTheme="minorHAnsi" w:hAnsiTheme="minorHAnsi"/>
          <w:sz w:val="22"/>
          <w:szCs w:val="22"/>
        </w:rPr>
      </w:pPr>
    </w:p>
    <w:p w:rsidR="0045531C" w:rsidRPr="00DD5994" w:rsidRDefault="00D26FEF" w:rsidP="0062507D">
      <w:pPr>
        <w:jc w:val="both"/>
        <w:rPr>
          <w:rFonts w:cs="Calibri"/>
        </w:rPr>
      </w:pPr>
      <w:r w:rsidRPr="00B5146F">
        <w:rPr>
          <w:rFonts w:cs="Calibri"/>
        </w:rPr>
        <w:t xml:space="preserve">António José da Silva Coutinho, portador do cartão de cidadão nº. 08419828, com domicílio profissional na </w:t>
      </w:r>
      <w:r w:rsidR="00F23D6C" w:rsidRPr="00B5146F">
        <w:t>Rua Camilo Castelo Branco, n.º 46, 5º, 1050-045 Lisboa</w:t>
      </w:r>
      <w:r w:rsidRPr="00B5146F">
        <w:rPr>
          <w:rFonts w:cs="Calibri"/>
        </w:rPr>
        <w:t xml:space="preserve">, na qualidade de representante legal de EDP Comercial – Comercialização de Energia, S.A., com a identificação fiscal nº. 503504564, com sede na </w:t>
      </w:r>
      <w:r w:rsidR="00F23D6C" w:rsidRPr="00B5146F">
        <w:rPr>
          <w:rFonts w:cs="Calibri"/>
        </w:rPr>
        <w:t>Avenida 24 de Julho, n.º 12, 1249-300 Lisboa</w:t>
      </w:r>
      <w:r w:rsidR="00103429" w:rsidRPr="00B5146F">
        <w:rPr>
          <w:rFonts w:cs="Calibri"/>
        </w:rPr>
        <w:t xml:space="preserve">, depois de </w:t>
      </w:r>
      <w:r w:rsidR="00DC0A55" w:rsidRPr="00B5146F">
        <w:rPr>
          <w:rFonts w:cs="Calibri"/>
        </w:rPr>
        <w:t xml:space="preserve">ter tomado </w:t>
      </w:r>
      <w:r w:rsidR="00DC0A55" w:rsidRPr="00473BA5">
        <w:rPr>
          <w:rFonts w:cs="Calibri"/>
        </w:rPr>
        <w:t>conhecimento do obje</w:t>
      </w:r>
      <w:r w:rsidR="00103429" w:rsidRPr="00473BA5">
        <w:rPr>
          <w:rFonts w:cs="Calibri"/>
        </w:rPr>
        <w:t xml:space="preserve">to do procedimento de </w:t>
      </w:r>
      <w:r w:rsidR="00F563A1" w:rsidRPr="00473BA5">
        <w:rPr>
          <w:rFonts w:cs="Calibri"/>
        </w:rPr>
        <w:t>Ajuste Directo</w:t>
      </w:r>
      <w:r w:rsidR="00F563A1" w:rsidRPr="00473BA5">
        <w:rPr>
          <w:rFonts w:cs="Calibri"/>
          <w:b/>
        </w:rPr>
        <w:t xml:space="preserve"> </w:t>
      </w:r>
      <w:r w:rsidR="00DC0A55" w:rsidRPr="00473BA5">
        <w:rPr>
          <w:rFonts w:cs="Calibri"/>
          <w:b/>
        </w:rPr>
        <w:br/>
      </w:r>
      <w:r w:rsidR="00D22B35" w:rsidRPr="00473BA5">
        <w:rPr>
          <w:rFonts w:cs="Calibri"/>
          <w:b/>
        </w:rPr>
        <w:t xml:space="preserve">Processo </w:t>
      </w:r>
      <w:r w:rsidR="00F563A1" w:rsidRPr="00473BA5">
        <w:rPr>
          <w:rFonts w:cs="Calibri"/>
          <w:b/>
        </w:rPr>
        <w:t xml:space="preserve">nº </w:t>
      </w:r>
      <w:r w:rsidR="00D22B35" w:rsidRPr="00473BA5">
        <w:rPr>
          <w:rFonts w:cs="Calibri"/>
          <w:b/>
        </w:rPr>
        <w:t>023</w:t>
      </w:r>
      <w:r w:rsidR="00B5146F" w:rsidRPr="00473BA5">
        <w:rPr>
          <w:rFonts w:cs="Calibri"/>
          <w:b/>
        </w:rPr>
        <w:t>/</w:t>
      </w:r>
      <w:r w:rsidR="00D22B35" w:rsidRPr="00473BA5">
        <w:rPr>
          <w:rFonts w:cs="Calibri"/>
          <w:b/>
        </w:rPr>
        <w:t>AJD/SA/</w:t>
      </w:r>
      <w:r w:rsidR="00B5146F" w:rsidRPr="00473BA5">
        <w:rPr>
          <w:rFonts w:cs="Calibri"/>
          <w:b/>
        </w:rPr>
        <w:t>16</w:t>
      </w:r>
      <w:r w:rsidR="00473BA5" w:rsidRPr="00473BA5">
        <w:rPr>
          <w:rFonts w:cs="Calibri"/>
          <w:b/>
        </w:rPr>
        <w:t xml:space="preserve">, </w:t>
      </w:r>
      <w:r w:rsidR="00B5146F" w:rsidRPr="00473BA5">
        <w:rPr>
          <w:rFonts w:cs="Calibri"/>
        </w:rPr>
        <w:t>relativo a</w:t>
      </w:r>
      <w:r w:rsidR="00F563A1" w:rsidRPr="00473BA5">
        <w:rPr>
          <w:rFonts w:cs="Calibri"/>
        </w:rPr>
        <w:t xml:space="preserve"> </w:t>
      </w:r>
      <w:r w:rsidR="00F563A1" w:rsidRPr="00473BA5">
        <w:rPr>
          <w:b/>
          <w:bCs/>
        </w:rPr>
        <w:t>“</w:t>
      </w:r>
      <w:r w:rsidR="00473BA5" w:rsidRPr="00473BA5">
        <w:rPr>
          <w:b/>
          <w:bCs/>
        </w:rPr>
        <w:t>Abastecimento Contínuo</w:t>
      </w:r>
      <w:r w:rsidR="00F563A1" w:rsidRPr="00473BA5">
        <w:rPr>
          <w:b/>
          <w:bCs/>
        </w:rPr>
        <w:t xml:space="preserve"> de Gás</w:t>
      </w:r>
      <w:r w:rsidR="00B5146F" w:rsidRPr="00473BA5">
        <w:rPr>
          <w:b/>
          <w:bCs/>
        </w:rPr>
        <w:t xml:space="preserve"> Natural</w:t>
      </w:r>
      <w:r w:rsidR="00473BA5" w:rsidRPr="00473BA5">
        <w:rPr>
          <w:b/>
          <w:bCs/>
        </w:rPr>
        <w:t xml:space="preserve"> a Doze Instalações do Município de Pombal</w:t>
      </w:r>
      <w:r w:rsidR="00F563A1" w:rsidRPr="00473BA5">
        <w:rPr>
          <w:rFonts w:cs="Arial"/>
          <w:b/>
          <w:i/>
        </w:rPr>
        <w:t>”,</w:t>
      </w:r>
      <w:r w:rsidR="00D748DE" w:rsidRPr="00473BA5">
        <w:t xml:space="preserve"> </w:t>
      </w:r>
      <w:r w:rsidR="00FE1D84" w:rsidRPr="00473BA5">
        <w:rPr>
          <w:rFonts w:cs="Arial"/>
        </w:rPr>
        <w:t>no período de vigência definido no Caderno de Encargos,</w:t>
      </w:r>
      <w:r w:rsidR="00FE1D84" w:rsidRPr="00B5146F">
        <w:rPr>
          <w:rFonts w:cs="Arial"/>
        </w:rPr>
        <w:t xml:space="preserve"> </w:t>
      </w:r>
      <w:r w:rsidR="00FE1D84" w:rsidRPr="00104F7C">
        <w:rPr>
          <w:rFonts w:cs="Arial"/>
        </w:rPr>
        <w:t xml:space="preserve">pelo preço </w:t>
      </w:r>
      <w:r w:rsidR="00980653" w:rsidRPr="00104F7C">
        <w:rPr>
          <w:rFonts w:cs="Arial"/>
        </w:rPr>
        <w:t xml:space="preserve">contratual </w:t>
      </w:r>
      <w:r w:rsidR="00104F7C" w:rsidRPr="00104F7C">
        <w:rPr>
          <w:rFonts w:cs="Arial"/>
        </w:rPr>
        <w:t>global</w:t>
      </w:r>
      <w:r w:rsidR="00980653" w:rsidRPr="00104F7C">
        <w:rPr>
          <w:rFonts w:cs="Arial"/>
        </w:rPr>
        <w:t xml:space="preserve"> </w:t>
      </w:r>
      <w:r w:rsidR="00FE1D84" w:rsidRPr="00104F7C">
        <w:rPr>
          <w:rFonts w:cs="Arial"/>
        </w:rPr>
        <w:t xml:space="preserve">estimado </w:t>
      </w:r>
      <w:r w:rsidR="00104F7C" w:rsidRPr="00104F7C">
        <w:rPr>
          <w:rFonts w:cs="Arial"/>
        </w:rPr>
        <w:t xml:space="preserve">para a totalidade do período </w:t>
      </w:r>
      <w:r w:rsidR="00FE1D84" w:rsidRPr="00104F7C">
        <w:rPr>
          <w:rFonts w:cs="Arial"/>
        </w:rPr>
        <w:t xml:space="preserve">de </w:t>
      </w:r>
      <w:r w:rsidR="00DF7E84" w:rsidRPr="00104F7C">
        <w:rPr>
          <w:rFonts w:cs="Arial"/>
          <w:b/>
        </w:rPr>
        <w:t>€</w:t>
      </w:r>
      <w:r w:rsidR="00104F7C" w:rsidRPr="00104F7C">
        <w:rPr>
          <w:rFonts w:cs="Arial"/>
          <w:b/>
        </w:rPr>
        <w:t>97.900,33</w:t>
      </w:r>
      <w:r w:rsidR="00FB3583" w:rsidRPr="00104F7C">
        <w:rPr>
          <w:rFonts w:cs="Arial"/>
        </w:rPr>
        <w:t xml:space="preserve"> </w:t>
      </w:r>
      <w:r w:rsidR="001E1904" w:rsidRPr="00104F7C">
        <w:rPr>
          <w:rFonts w:cs="Arial"/>
        </w:rPr>
        <w:t>(</w:t>
      </w:r>
      <w:r w:rsidR="00104F7C" w:rsidRPr="00104F7C">
        <w:rPr>
          <w:rFonts w:cs="Arial"/>
        </w:rPr>
        <w:t>noventa e sete mil</w:t>
      </w:r>
      <w:r w:rsidR="001E1904" w:rsidRPr="00104F7C">
        <w:rPr>
          <w:rFonts w:cs="Arial"/>
        </w:rPr>
        <w:t xml:space="preserve">, </w:t>
      </w:r>
      <w:r w:rsidR="00FB3583" w:rsidRPr="00104F7C">
        <w:rPr>
          <w:rFonts w:cs="Arial"/>
        </w:rPr>
        <w:t xml:space="preserve">novecentos </w:t>
      </w:r>
      <w:r w:rsidR="001E1904" w:rsidRPr="00104F7C">
        <w:rPr>
          <w:rFonts w:cs="Arial"/>
        </w:rPr>
        <w:t xml:space="preserve">euros e </w:t>
      </w:r>
      <w:r w:rsidR="00104F7C" w:rsidRPr="00104F7C">
        <w:rPr>
          <w:rFonts w:cs="Arial"/>
        </w:rPr>
        <w:t>trinta e três</w:t>
      </w:r>
      <w:r w:rsidR="001E1904" w:rsidRPr="00104F7C">
        <w:rPr>
          <w:rFonts w:cs="Arial"/>
        </w:rPr>
        <w:t xml:space="preserve"> cêntimos de euro)</w:t>
      </w:r>
      <w:r w:rsidR="00FE1D84" w:rsidRPr="00104F7C">
        <w:rPr>
          <w:rFonts w:cs="Arial"/>
        </w:rPr>
        <w:t>, nos termos</w:t>
      </w:r>
      <w:r w:rsidR="00FE1D84" w:rsidRPr="00B5146F">
        <w:rPr>
          <w:rFonts w:cs="Arial"/>
        </w:rPr>
        <w:t xml:space="preserve"> do disposto nos artigos 60.º e 97.º do Código dos Contratos Públicos, e declara que:</w:t>
      </w:r>
    </w:p>
    <w:p w:rsidR="0045531C" w:rsidRPr="00DD5994" w:rsidRDefault="0045531C" w:rsidP="00E03734">
      <w:pPr>
        <w:spacing w:after="0" w:line="240" w:lineRule="auto"/>
        <w:jc w:val="both"/>
        <w:rPr>
          <w:rFonts w:eastAsia="Times New Roman" w:cs="Times New Roman"/>
        </w:rPr>
      </w:pPr>
    </w:p>
    <w:p w:rsidR="009D1835" w:rsidRPr="00DD5994" w:rsidRDefault="009D1835" w:rsidP="009D1835">
      <w:pPr>
        <w:pStyle w:val="ListParagraph"/>
        <w:numPr>
          <w:ilvl w:val="0"/>
          <w:numId w:val="8"/>
        </w:numPr>
        <w:tabs>
          <w:tab w:val="left" w:pos="426"/>
        </w:tabs>
        <w:ind w:left="0" w:firstLine="0"/>
        <w:jc w:val="both"/>
        <w:outlineLvl w:val="0"/>
        <w:rPr>
          <w:b/>
        </w:rPr>
      </w:pPr>
      <w:r w:rsidRPr="00DD5994">
        <w:rPr>
          <w:b/>
        </w:rPr>
        <w:t>Definição do preço</w:t>
      </w:r>
    </w:p>
    <w:p w:rsidR="009D1835" w:rsidRPr="00DD5994" w:rsidRDefault="009D1835" w:rsidP="009D1835">
      <w:pPr>
        <w:autoSpaceDE w:val="0"/>
        <w:autoSpaceDN w:val="0"/>
        <w:adjustRightInd w:val="0"/>
        <w:spacing w:after="0"/>
        <w:jc w:val="both"/>
        <w:rPr>
          <w:rFonts w:eastAsia="Times New Roman" w:cs="Arial"/>
        </w:rPr>
      </w:pPr>
      <w:r w:rsidRPr="00DD5994">
        <w:rPr>
          <w:rFonts w:eastAsia="Times New Roman" w:cs="Arial"/>
        </w:rPr>
        <w:t xml:space="preserve">O preço </w:t>
      </w:r>
      <w:r w:rsidR="00AE1DD8" w:rsidRPr="00104F7C">
        <w:rPr>
          <w:rFonts w:cs="Arial"/>
        </w:rPr>
        <w:t xml:space="preserve">contratual global estimado para a totalidade do período </w:t>
      </w:r>
      <w:r w:rsidRPr="00DD5994">
        <w:rPr>
          <w:rFonts w:eastAsia="Times New Roman" w:cs="Arial"/>
        </w:rPr>
        <w:t>foi calculado de acordo com os consumos disponibilizados pela Entidade Adjudicante com a valorização da energia de acordo com os preços unitários propostos e aplicados aos diferentes tipos tarifários e inclui a valorização do acesso às redes de acordo com as tarifas publicadas pela ERSE para o ano de 201</w:t>
      </w:r>
      <w:r w:rsidR="00A5699C" w:rsidRPr="00DD5994">
        <w:rPr>
          <w:rFonts w:eastAsia="Times New Roman" w:cs="Arial"/>
        </w:rPr>
        <w:t>5</w:t>
      </w:r>
      <w:r w:rsidR="00ED72CC" w:rsidRPr="00DD5994">
        <w:rPr>
          <w:rFonts w:eastAsia="Times New Roman" w:cs="Arial"/>
        </w:rPr>
        <w:t>/201</w:t>
      </w:r>
      <w:r w:rsidR="00A5699C" w:rsidRPr="00DD5994">
        <w:rPr>
          <w:rFonts w:eastAsia="Times New Roman" w:cs="Arial"/>
        </w:rPr>
        <w:t>6</w:t>
      </w:r>
      <w:r w:rsidRPr="00DD5994">
        <w:rPr>
          <w:rFonts w:eastAsia="Times New Roman" w:cs="Arial"/>
        </w:rPr>
        <w:t xml:space="preserve">. Este valor inclui quaisquer outras taxas definidas pela ERSE </w:t>
      </w:r>
      <w:r w:rsidR="00DC0A55">
        <w:rPr>
          <w:rFonts w:eastAsia="Times New Roman" w:cs="Arial"/>
        </w:rPr>
        <w:t xml:space="preserve">e </w:t>
      </w:r>
      <w:r w:rsidRPr="00DD5994">
        <w:rPr>
          <w:rFonts w:eastAsia="Times New Roman" w:cs="Arial"/>
        </w:rPr>
        <w:t>quaisquer outras obrigações legais decorrentes do fornecimento de gás natural.</w:t>
      </w:r>
    </w:p>
    <w:p w:rsidR="009D1835" w:rsidRPr="00DD5994" w:rsidRDefault="009D1835" w:rsidP="009D1835">
      <w:pPr>
        <w:autoSpaceDE w:val="0"/>
        <w:autoSpaceDN w:val="0"/>
        <w:adjustRightInd w:val="0"/>
        <w:spacing w:after="0" w:line="240" w:lineRule="auto"/>
        <w:jc w:val="both"/>
        <w:rPr>
          <w:rFonts w:eastAsia="Times New Roman" w:cs="Arial"/>
        </w:rPr>
      </w:pPr>
    </w:p>
    <w:p w:rsidR="009D1835" w:rsidRPr="00DD5994" w:rsidRDefault="009D1835" w:rsidP="009D1835">
      <w:pPr>
        <w:autoSpaceDE w:val="0"/>
        <w:autoSpaceDN w:val="0"/>
        <w:adjustRightInd w:val="0"/>
        <w:jc w:val="both"/>
        <w:rPr>
          <w:rFonts w:cs="Arial"/>
        </w:rPr>
      </w:pPr>
      <w:r w:rsidRPr="00DD5994">
        <w:rPr>
          <w:rFonts w:cs="Calibri"/>
        </w:rPr>
        <w:t xml:space="preserve">À quantia supra mencionada incidirá o imposto sobre o valor acrescentado à taxa </w:t>
      </w:r>
      <w:r w:rsidRPr="00DD5994">
        <w:rPr>
          <w:rFonts w:cs="Arial"/>
        </w:rPr>
        <w:t xml:space="preserve">legal em vigor. </w:t>
      </w:r>
    </w:p>
    <w:p w:rsidR="009D1835" w:rsidRPr="00DD5994" w:rsidRDefault="009D1835" w:rsidP="00E03734">
      <w:pPr>
        <w:jc w:val="both"/>
        <w:rPr>
          <w:rFonts w:cs="Calibri"/>
        </w:rPr>
      </w:pPr>
    </w:p>
    <w:p w:rsidR="004F2852" w:rsidRPr="00DD5994" w:rsidRDefault="00990502" w:rsidP="00990502">
      <w:pPr>
        <w:pStyle w:val="ListParagraph"/>
        <w:numPr>
          <w:ilvl w:val="0"/>
          <w:numId w:val="8"/>
        </w:numPr>
        <w:tabs>
          <w:tab w:val="left" w:pos="426"/>
        </w:tabs>
        <w:ind w:left="0" w:firstLine="0"/>
        <w:jc w:val="both"/>
        <w:outlineLvl w:val="0"/>
        <w:rPr>
          <w:b/>
        </w:rPr>
      </w:pPr>
      <w:r w:rsidRPr="00DD5994">
        <w:rPr>
          <w:b/>
        </w:rPr>
        <w:t>Parcelas de facturação</w:t>
      </w:r>
    </w:p>
    <w:p w:rsidR="004F2852" w:rsidRPr="00DD5994" w:rsidRDefault="00CC58C9" w:rsidP="003E3AF0">
      <w:pPr>
        <w:spacing w:after="0" w:line="240" w:lineRule="auto"/>
        <w:jc w:val="both"/>
        <w:rPr>
          <w:rFonts w:eastAsia="Times New Roman" w:cs="Times New Roman"/>
        </w:rPr>
      </w:pPr>
      <w:r w:rsidRPr="00DD5994">
        <w:rPr>
          <w:rFonts w:eastAsia="Times New Roman" w:cs="Times New Roman"/>
        </w:rPr>
        <w:t xml:space="preserve">2.1) </w:t>
      </w:r>
      <w:r w:rsidR="004F2852" w:rsidRPr="00DD5994">
        <w:rPr>
          <w:rFonts w:eastAsia="Times New Roman" w:cs="Times New Roman"/>
        </w:rPr>
        <w:t xml:space="preserve">A título de contrapartida pelo </w:t>
      </w:r>
      <w:r w:rsidR="007F005E">
        <w:rPr>
          <w:rFonts w:eastAsia="Times New Roman" w:cs="Times New Roman"/>
        </w:rPr>
        <w:t>fornecimento de gás natural efe</w:t>
      </w:r>
      <w:r w:rsidR="004F2852" w:rsidRPr="00DD5994">
        <w:rPr>
          <w:rFonts w:eastAsia="Times New Roman" w:cs="Times New Roman"/>
        </w:rPr>
        <w:t xml:space="preserve">tuado pela EDP </w:t>
      </w:r>
      <w:r w:rsidR="004826C8" w:rsidRPr="00DD5994">
        <w:rPr>
          <w:rFonts w:eastAsia="Times New Roman" w:cs="Times New Roman"/>
        </w:rPr>
        <w:t>Comercial</w:t>
      </w:r>
      <w:r w:rsidR="004F498C" w:rsidRPr="00DD5994">
        <w:rPr>
          <w:rFonts w:eastAsia="Times New Roman" w:cs="Times New Roman"/>
        </w:rPr>
        <w:t xml:space="preserve">, </w:t>
      </w:r>
      <w:r w:rsidR="005A2F8F" w:rsidRPr="00DD5994">
        <w:rPr>
          <w:rFonts w:eastAsia="Times New Roman" w:cs="Times New Roman"/>
        </w:rPr>
        <w:t xml:space="preserve">a entidade adjudicante </w:t>
      </w:r>
      <w:r w:rsidR="004F2852" w:rsidRPr="00DD5994">
        <w:rPr>
          <w:rFonts w:eastAsia="Times New Roman" w:cs="Times New Roman"/>
        </w:rPr>
        <w:t>obriga-se a pagar um preço, em Euros, que resultará do somatório dos seguintes parcelas:</w:t>
      </w:r>
    </w:p>
    <w:p w:rsidR="0067794A" w:rsidRPr="00DD5994" w:rsidRDefault="0067794A" w:rsidP="003E3AF0">
      <w:pPr>
        <w:spacing w:after="0" w:line="240" w:lineRule="auto"/>
        <w:jc w:val="both"/>
        <w:rPr>
          <w:rFonts w:eastAsia="Times New Roman" w:cs="Times New Roman"/>
        </w:rPr>
      </w:pPr>
    </w:p>
    <w:p w:rsidR="00B87EF8" w:rsidRPr="00DD5994" w:rsidRDefault="004F2852" w:rsidP="001A59A3">
      <w:pPr>
        <w:pStyle w:val="ListParagraph"/>
        <w:numPr>
          <w:ilvl w:val="0"/>
          <w:numId w:val="5"/>
        </w:numPr>
        <w:spacing w:after="0" w:line="240" w:lineRule="auto"/>
        <w:jc w:val="both"/>
        <w:rPr>
          <w:rFonts w:eastAsia="Times New Roman" w:cs="Times New Roman"/>
        </w:rPr>
      </w:pPr>
      <w:r w:rsidRPr="00DD5994">
        <w:rPr>
          <w:rFonts w:eastAsia="Times New Roman" w:cs="Times New Roman"/>
        </w:rPr>
        <w:t xml:space="preserve">Parcela referente à tarifa de acesso às redes aplicável a consumidores fornecidos por comercializadores, que não o comercializador de último recurso retalhista ou grossista, tal como definida, a cada momento, pela Entidade Reguladora dos Serviços Energéticos (adiante designada apenas por “ERSE”). </w:t>
      </w:r>
    </w:p>
    <w:p w:rsidR="00B87EF8" w:rsidRPr="00DD5994" w:rsidRDefault="00B87EF8" w:rsidP="00B87EF8">
      <w:pPr>
        <w:pStyle w:val="ListParagraph"/>
        <w:spacing w:after="0" w:line="240" w:lineRule="auto"/>
        <w:jc w:val="both"/>
        <w:rPr>
          <w:rFonts w:eastAsia="Times New Roman" w:cs="Times New Roman"/>
        </w:rPr>
      </w:pPr>
    </w:p>
    <w:p w:rsidR="001A59A3" w:rsidRPr="00DD5994" w:rsidRDefault="004F2852" w:rsidP="00B87EF8">
      <w:pPr>
        <w:pStyle w:val="ListParagraph"/>
        <w:spacing w:after="0" w:line="240" w:lineRule="auto"/>
        <w:jc w:val="both"/>
        <w:rPr>
          <w:rFonts w:eastAsia="Times New Roman" w:cs="Times New Roman"/>
        </w:rPr>
      </w:pPr>
      <w:r w:rsidRPr="00DD5994">
        <w:rPr>
          <w:rFonts w:eastAsia="Times New Roman" w:cs="Times New Roman"/>
        </w:rPr>
        <w:t xml:space="preserve">O valor concreto desta parcela será definido a cada momento tendo em conta o disposto no Regulamento Tarifário, emitido pela ERSE, aplicável à data de prestação dos serviços de fornecimento de gás natural. </w:t>
      </w:r>
    </w:p>
    <w:p w:rsidR="001A59A3" w:rsidRPr="00DD5994" w:rsidRDefault="001A59A3" w:rsidP="001A59A3">
      <w:pPr>
        <w:pStyle w:val="ListParagraph"/>
        <w:spacing w:after="0" w:line="240" w:lineRule="auto"/>
        <w:jc w:val="both"/>
        <w:rPr>
          <w:rFonts w:eastAsia="Times New Roman" w:cs="Times New Roman"/>
        </w:rPr>
      </w:pPr>
    </w:p>
    <w:p w:rsidR="0045531C" w:rsidRPr="00DD5994" w:rsidRDefault="0045531C" w:rsidP="0062507D">
      <w:pPr>
        <w:jc w:val="both"/>
        <w:rPr>
          <w:rFonts w:cs="Calibri"/>
        </w:rPr>
      </w:pPr>
    </w:p>
    <w:p w:rsidR="004B0C3D" w:rsidRPr="00DD5994" w:rsidRDefault="004B0C3D" w:rsidP="0062507D">
      <w:pPr>
        <w:jc w:val="both"/>
        <w:rPr>
          <w:rFonts w:cs="Calibri"/>
        </w:rPr>
      </w:pPr>
    </w:p>
    <w:p w:rsidR="004B0C3D" w:rsidRPr="00DD5994" w:rsidRDefault="004B0C3D" w:rsidP="0062507D">
      <w:pPr>
        <w:jc w:val="both"/>
        <w:rPr>
          <w:rFonts w:cs="Calibri"/>
        </w:rPr>
      </w:pPr>
    </w:p>
    <w:p w:rsidR="001768FD" w:rsidRPr="00DD5994" w:rsidRDefault="001768FD" w:rsidP="001768FD">
      <w:pPr>
        <w:pStyle w:val="ListParagraph"/>
        <w:keepNext/>
        <w:spacing w:after="0" w:line="240" w:lineRule="auto"/>
        <w:jc w:val="both"/>
      </w:pPr>
    </w:p>
    <w:p w:rsidR="004F2852" w:rsidRPr="00DD5994" w:rsidRDefault="004F2852" w:rsidP="001A59A3">
      <w:pPr>
        <w:pStyle w:val="ListParagraph"/>
        <w:keepNext/>
        <w:numPr>
          <w:ilvl w:val="0"/>
          <w:numId w:val="5"/>
        </w:numPr>
        <w:tabs>
          <w:tab w:val="num" w:pos="540"/>
        </w:tabs>
        <w:spacing w:after="0" w:line="240" w:lineRule="auto"/>
        <w:jc w:val="both"/>
      </w:pPr>
      <w:r w:rsidRPr="00DD5994">
        <w:t>Parcela referente</w:t>
      </w:r>
      <w:r w:rsidR="004F498C" w:rsidRPr="00DD5994">
        <w:t xml:space="preserve"> ao consumo de gás natural (em k</w:t>
      </w:r>
      <w:r w:rsidRPr="00DD5994">
        <w:t>Wh):</w:t>
      </w:r>
    </w:p>
    <w:p w:rsidR="00ED72CC" w:rsidRPr="00DD5994" w:rsidRDefault="00ED72CC" w:rsidP="00ED72CC">
      <w:pPr>
        <w:pStyle w:val="ListParagraph"/>
        <w:jc w:val="both"/>
        <w:rPr>
          <w:rFonts w:cs="Calibri"/>
        </w:rPr>
      </w:pPr>
    </w:p>
    <w:tbl>
      <w:tblPr>
        <w:tblW w:w="5863" w:type="dxa"/>
        <w:jc w:val="center"/>
        <w:tblBorders>
          <w:top w:val="single" w:sz="18" w:space="0" w:color="C0C0C0"/>
          <w:left w:val="single" w:sz="18" w:space="0" w:color="C0C0C0"/>
          <w:bottom w:val="single" w:sz="18" w:space="0" w:color="C0C0C0"/>
          <w:right w:val="single" w:sz="18" w:space="0" w:color="C0C0C0"/>
          <w:insideH w:val="single" w:sz="18" w:space="0" w:color="C0C0C0"/>
          <w:insideV w:val="single" w:sz="18" w:space="0" w:color="C0C0C0"/>
        </w:tblBorders>
        <w:tblLayout w:type="fixed"/>
        <w:tblLook w:val="00A0" w:firstRow="1" w:lastRow="0" w:firstColumn="1" w:lastColumn="0" w:noHBand="0" w:noVBand="0"/>
      </w:tblPr>
      <w:tblGrid>
        <w:gridCol w:w="2120"/>
        <w:gridCol w:w="1753"/>
        <w:gridCol w:w="1990"/>
      </w:tblGrid>
      <w:tr w:rsidR="001D3E14" w:rsidRPr="00DD5994" w:rsidTr="001D3E14">
        <w:trPr>
          <w:cantSplit/>
          <w:trHeight w:val="20"/>
          <w:jc w:val="center"/>
        </w:trPr>
        <w:tc>
          <w:tcPr>
            <w:tcW w:w="2120" w:type="dxa"/>
            <w:tcBorders>
              <w:bottom w:val="single" w:sz="18" w:space="0" w:color="FF0000"/>
            </w:tcBorders>
            <w:shd w:val="clear" w:color="auto" w:fill="E0E0E0"/>
            <w:vAlign w:val="center"/>
          </w:tcPr>
          <w:p w:rsidR="001D3E14" w:rsidRPr="00DD5994" w:rsidRDefault="00D22B35" w:rsidP="008C1A8E">
            <w:pPr>
              <w:spacing w:before="60" w:after="60"/>
              <w:jc w:val="center"/>
              <w:rPr>
                <w:rFonts w:cs="Arial"/>
                <w:b/>
                <w:iCs/>
              </w:rPr>
            </w:pPr>
            <w:r>
              <w:rPr>
                <w:rFonts w:cs="Arial"/>
                <w:b/>
                <w:iCs/>
              </w:rPr>
              <w:t>Baixa Pressão</w:t>
            </w:r>
          </w:p>
        </w:tc>
        <w:tc>
          <w:tcPr>
            <w:tcW w:w="1753" w:type="dxa"/>
            <w:tcBorders>
              <w:bottom w:val="single" w:sz="18" w:space="0" w:color="FF0000"/>
            </w:tcBorders>
            <w:shd w:val="clear" w:color="auto" w:fill="E0E0E0"/>
            <w:vAlign w:val="center"/>
          </w:tcPr>
          <w:p w:rsidR="001D3E14" w:rsidRPr="00DD5994" w:rsidRDefault="001D3E14" w:rsidP="008C1A8E">
            <w:pPr>
              <w:spacing w:before="60" w:after="60"/>
              <w:jc w:val="center"/>
              <w:rPr>
                <w:rFonts w:cs="Arial"/>
                <w:b/>
                <w:iCs/>
              </w:rPr>
            </w:pPr>
            <w:r w:rsidRPr="00DD5994">
              <w:rPr>
                <w:rFonts w:cs="Arial"/>
                <w:b/>
                <w:iCs/>
              </w:rPr>
              <w:t>Termo de Energia</w:t>
            </w:r>
          </w:p>
        </w:tc>
        <w:tc>
          <w:tcPr>
            <w:tcW w:w="1990" w:type="dxa"/>
            <w:tcBorders>
              <w:bottom w:val="single" w:sz="18" w:space="0" w:color="FF0000"/>
            </w:tcBorders>
            <w:shd w:val="clear" w:color="auto" w:fill="E0E0E0"/>
            <w:vAlign w:val="center"/>
          </w:tcPr>
          <w:p w:rsidR="001D3E14" w:rsidRPr="00DD5994" w:rsidRDefault="001D3E14" w:rsidP="008C1A8E">
            <w:pPr>
              <w:spacing w:before="60" w:after="60"/>
              <w:jc w:val="center"/>
              <w:rPr>
                <w:rFonts w:cs="Arial"/>
                <w:b/>
                <w:iCs/>
              </w:rPr>
            </w:pPr>
            <w:r w:rsidRPr="00DD5994">
              <w:rPr>
                <w:rFonts w:cs="Arial"/>
                <w:b/>
                <w:iCs/>
              </w:rPr>
              <w:t xml:space="preserve">Preço proposto </w:t>
            </w:r>
            <w:r w:rsidR="00E623D2">
              <w:rPr>
                <w:rFonts w:cs="Arial"/>
                <w:b/>
                <w:iCs/>
              </w:rPr>
              <w:t>(*)</w:t>
            </w:r>
          </w:p>
          <w:p w:rsidR="001D3E14" w:rsidRPr="00DD5994" w:rsidRDefault="001D3E14" w:rsidP="008C1A8E">
            <w:pPr>
              <w:spacing w:before="60" w:after="60"/>
              <w:jc w:val="center"/>
              <w:rPr>
                <w:rFonts w:cs="Arial"/>
                <w:b/>
                <w:iCs/>
              </w:rPr>
            </w:pPr>
            <w:r w:rsidRPr="00DD5994">
              <w:rPr>
                <w:rFonts w:cs="Arial"/>
                <w:b/>
                <w:iCs/>
              </w:rPr>
              <w:t>(€/kWh)</w:t>
            </w:r>
          </w:p>
        </w:tc>
      </w:tr>
      <w:tr w:rsidR="001D3E14" w:rsidRPr="00DD5994" w:rsidTr="001D3E14">
        <w:trPr>
          <w:trHeight w:val="74"/>
          <w:jc w:val="center"/>
        </w:trPr>
        <w:tc>
          <w:tcPr>
            <w:tcW w:w="2120" w:type="dxa"/>
            <w:tcBorders>
              <w:top w:val="single" w:sz="18" w:space="0" w:color="FF0000"/>
              <w:bottom w:val="single" w:sz="18" w:space="0" w:color="C0C0C0"/>
            </w:tcBorders>
          </w:tcPr>
          <w:p w:rsidR="001D3E14" w:rsidRPr="00DD5994" w:rsidRDefault="001D3E14" w:rsidP="00D22B35">
            <w:pPr>
              <w:spacing w:before="60" w:after="60"/>
              <w:jc w:val="center"/>
              <w:rPr>
                <w:rFonts w:cs="Arial"/>
                <w:iCs/>
              </w:rPr>
            </w:pPr>
            <w:r w:rsidRPr="00DD5994">
              <w:rPr>
                <w:rFonts w:cs="Arial"/>
                <w:iCs/>
              </w:rPr>
              <w:t xml:space="preserve">BP </w:t>
            </w:r>
            <w:r w:rsidR="00D22B35">
              <w:rPr>
                <w:rFonts w:cs="Arial"/>
                <w:iCs/>
              </w:rPr>
              <w:t>inferior</w:t>
            </w:r>
            <w:r w:rsidRPr="00DD5994">
              <w:rPr>
                <w:rFonts w:cs="Arial"/>
                <w:iCs/>
              </w:rPr>
              <w:t xml:space="preserve"> 10.000m3</w:t>
            </w:r>
            <w:r w:rsidR="00D22B35">
              <w:rPr>
                <w:rFonts w:cs="Arial"/>
                <w:iCs/>
              </w:rPr>
              <w:t>/ano</w:t>
            </w:r>
          </w:p>
        </w:tc>
        <w:tc>
          <w:tcPr>
            <w:tcW w:w="1753" w:type="dxa"/>
            <w:tcBorders>
              <w:top w:val="single" w:sz="18" w:space="0" w:color="FF0000"/>
              <w:bottom w:val="single" w:sz="18" w:space="0" w:color="C0C0C0"/>
            </w:tcBorders>
            <w:vAlign w:val="center"/>
          </w:tcPr>
          <w:p w:rsidR="001D3E14" w:rsidRPr="00DD5994" w:rsidRDefault="001D3E14" w:rsidP="008C1A8E">
            <w:pPr>
              <w:spacing w:before="60" w:after="60"/>
              <w:jc w:val="center"/>
              <w:rPr>
                <w:rFonts w:cs="Arial"/>
                <w:iCs/>
              </w:rPr>
            </w:pPr>
            <w:r w:rsidRPr="00DD5994">
              <w:rPr>
                <w:rFonts w:cs="Arial"/>
                <w:iCs/>
              </w:rPr>
              <w:t>Gás Natural</w:t>
            </w:r>
          </w:p>
        </w:tc>
        <w:tc>
          <w:tcPr>
            <w:tcW w:w="1990" w:type="dxa"/>
            <w:tcBorders>
              <w:top w:val="single" w:sz="18" w:space="0" w:color="FF0000"/>
              <w:bottom w:val="single" w:sz="18" w:space="0" w:color="C0C0C0"/>
            </w:tcBorders>
            <w:vAlign w:val="center"/>
          </w:tcPr>
          <w:p w:rsidR="001D3E14" w:rsidRPr="00DD5994" w:rsidRDefault="00D22B35" w:rsidP="009C164D">
            <w:pPr>
              <w:spacing w:before="60" w:after="60"/>
              <w:jc w:val="center"/>
              <w:rPr>
                <w:rFonts w:cs="Arial"/>
                <w:iCs/>
              </w:rPr>
            </w:pPr>
            <w:r>
              <w:rPr>
                <w:rFonts w:cs="Century Gothic"/>
              </w:rPr>
              <w:t>0,021743</w:t>
            </w:r>
          </w:p>
        </w:tc>
      </w:tr>
    </w:tbl>
    <w:p w:rsidR="00ED72CC" w:rsidRDefault="00ED72CC" w:rsidP="00ED72CC">
      <w:pPr>
        <w:pStyle w:val="ListParagraph"/>
        <w:autoSpaceDE w:val="0"/>
        <w:autoSpaceDN w:val="0"/>
        <w:adjustRightInd w:val="0"/>
        <w:jc w:val="both"/>
        <w:rPr>
          <w:rFonts w:cs="Arial"/>
        </w:rPr>
      </w:pPr>
      <w:r w:rsidRPr="00DD5994">
        <w:rPr>
          <w:rFonts w:cs="Arial"/>
        </w:rPr>
        <w:t xml:space="preserve">Nota: o preço apresentado não inclui as componentes de acesso às redes. </w:t>
      </w:r>
    </w:p>
    <w:p w:rsidR="00D22B35" w:rsidRDefault="00D22B35" w:rsidP="00ED72CC">
      <w:pPr>
        <w:pStyle w:val="ListParagraph"/>
        <w:autoSpaceDE w:val="0"/>
        <w:autoSpaceDN w:val="0"/>
        <w:adjustRightInd w:val="0"/>
        <w:jc w:val="both"/>
        <w:rPr>
          <w:rFonts w:cs="Arial"/>
        </w:rPr>
      </w:pPr>
    </w:p>
    <w:p w:rsidR="00D22B35" w:rsidRPr="00DD5994" w:rsidRDefault="00D22B35" w:rsidP="00D22B35">
      <w:pPr>
        <w:pStyle w:val="ListParagraph"/>
        <w:jc w:val="both"/>
        <w:rPr>
          <w:rFonts w:cs="Calibri"/>
        </w:rPr>
      </w:pPr>
    </w:p>
    <w:tbl>
      <w:tblPr>
        <w:tblW w:w="5863" w:type="dxa"/>
        <w:jc w:val="center"/>
        <w:tblBorders>
          <w:top w:val="single" w:sz="18" w:space="0" w:color="C0C0C0"/>
          <w:left w:val="single" w:sz="18" w:space="0" w:color="C0C0C0"/>
          <w:bottom w:val="single" w:sz="18" w:space="0" w:color="C0C0C0"/>
          <w:right w:val="single" w:sz="18" w:space="0" w:color="C0C0C0"/>
          <w:insideH w:val="single" w:sz="18" w:space="0" w:color="C0C0C0"/>
          <w:insideV w:val="single" w:sz="18" w:space="0" w:color="C0C0C0"/>
        </w:tblBorders>
        <w:tblLayout w:type="fixed"/>
        <w:tblLook w:val="00A0" w:firstRow="1" w:lastRow="0" w:firstColumn="1" w:lastColumn="0" w:noHBand="0" w:noVBand="0"/>
      </w:tblPr>
      <w:tblGrid>
        <w:gridCol w:w="2120"/>
        <w:gridCol w:w="1753"/>
        <w:gridCol w:w="1990"/>
      </w:tblGrid>
      <w:tr w:rsidR="00D22B35" w:rsidRPr="00DD5994" w:rsidTr="00A17BF5">
        <w:trPr>
          <w:cantSplit/>
          <w:trHeight w:val="20"/>
          <w:jc w:val="center"/>
        </w:trPr>
        <w:tc>
          <w:tcPr>
            <w:tcW w:w="2120" w:type="dxa"/>
            <w:tcBorders>
              <w:bottom w:val="single" w:sz="18" w:space="0" w:color="FF0000"/>
            </w:tcBorders>
            <w:shd w:val="clear" w:color="auto" w:fill="E0E0E0"/>
            <w:vAlign w:val="center"/>
          </w:tcPr>
          <w:p w:rsidR="00D22B35" w:rsidRPr="00DD5994" w:rsidRDefault="00D22B35" w:rsidP="00A17BF5">
            <w:pPr>
              <w:spacing w:before="60" w:after="60"/>
              <w:jc w:val="center"/>
              <w:rPr>
                <w:rFonts w:cs="Arial"/>
                <w:b/>
                <w:iCs/>
              </w:rPr>
            </w:pPr>
            <w:r>
              <w:rPr>
                <w:rFonts w:cs="Arial"/>
                <w:b/>
                <w:iCs/>
              </w:rPr>
              <w:t>Baixa Pressão</w:t>
            </w:r>
          </w:p>
        </w:tc>
        <w:tc>
          <w:tcPr>
            <w:tcW w:w="1753" w:type="dxa"/>
            <w:tcBorders>
              <w:bottom w:val="single" w:sz="18" w:space="0" w:color="FF0000"/>
            </w:tcBorders>
            <w:shd w:val="clear" w:color="auto" w:fill="E0E0E0"/>
            <w:vAlign w:val="center"/>
          </w:tcPr>
          <w:p w:rsidR="00D22B35" w:rsidRPr="00DD5994" w:rsidRDefault="00D22B35" w:rsidP="00A17BF5">
            <w:pPr>
              <w:spacing w:before="60" w:after="60"/>
              <w:jc w:val="center"/>
              <w:rPr>
                <w:rFonts w:cs="Arial"/>
                <w:b/>
                <w:iCs/>
              </w:rPr>
            </w:pPr>
            <w:r w:rsidRPr="00DD5994">
              <w:rPr>
                <w:rFonts w:cs="Arial"/>
                <w:b/>
                <w:iCs/>
              </w:rPr>
              <w:t>Termo de Energia</w:t>
            </w:r>
          </w:p>
        </w:tc>
        <w:tc>
          <w:tcPr>
            <w:tcW w:w="1990" w:type="dxa"/>
            <w:tcBorders>
              <w:bottom w:val="single" w:sz="18" w:space="0" w:color="FF0000"/>
            </w:tcBorders>
            <w:shd w:val="clear" w:color="auto" w:fill="E0E0E0"/>
            <w:vAlign w:val="center"/>
          </w:tcPr>
          <w:p w:rsidR="00D22B35" w:rsidRPr="00DD5994" w:rsidRDefault="00D22B35" w:rsidP="00A17BF5">
            <w:pPr>
              <w:spacing w:before="60" w:after="60"/>
              <w:jc w:val="center"/>
              <w:rPr>
                <w:rFonts w:cs="Arial"/>
                <w:b/>
                <w:iCs/>
              </w:rPr>
            </w:pPr>
            <w:r w:rsidRPr="00DD5994">
              <w:rPr>
                <w:rFonts w:cs="Arial"/>
                <w:b/>
                <w:iCs/>
              </w:rPr>
              <w:t xml:space="preserve">Preço proposto </w:t>
            </w:r>
            <w:r>
              <w:rPr>
                <w:rFonts w:cs="Arial"/>
                <w:b/>
                <w:iCs/>
              </w:rPr>
              <w:t>(*)</w:t>
            </w:r>
          </w:p>
          <w:p w:rsidR="00D22B35" w:rsidRPr="00DD5994" w:rsidRDefault="00D22B35" w:rsidP="00A17BF5">
            <w:pPr>
              <w:spacing w:before="60" w:after="60"/>
              <w:jc w:val="center"/>
              <w:rPr>
                <w:rFonts w:cs="Arial"/>
                <w:b/>
                <w:iCs/>
              </w:rPr>
            </w:pPr>
            <w:r w:rsidRPr="00DD5994">
              <w:rPr>
                <w:rFonts w:cs="Arial"/>
                <w:b/>
                <w:iCs/>
              </w:rPr>
              <w:t>(€/kWh)</w:t>
            </w:r>
          </w:p>
        </w:tc>
      </w:tr>
      <w:tr w:rsidR="00D22B35" w:rsidRPr="00DD5994" w:rsidTr="00A17BF5">
        <w:trPr>
          <w:trHeight w:val="74"/>
          <w:jc w:val="center"/>
        </w:trPr>
        <w:tc>
          <w:tcPr>
            <w:tcW w:w="2120" w:type="dxa"/>
            <w:tcBorders>
              <w:top w:val="single" w:sz="18" w:space="0" w:color="FF0000"/>
              <w:bottom w:val="single" w:sz="18" w:space="0" w:color="C0C0C0"/>
            </w:tcBorders>
          </w:tcPr>
          <w:p w:rsidR="00D22B35" w:rsidRPr="00DD5994" w:rsidRDefault="00D22B35" w:rsidP="00D22B35">
            <w:pPr>
              <w:spacing w:before="60" w:after="60"/>
              <w:jc w:val="center"/>
              <w:rPr>
                <w:rFonts w:cs="Arial"/>
                <w:iCs/>
              </w:rPr>
            </w:pPr>
            <w:r w:rsidRPr="00DD5994">
              <w:rPr>
                <w:rFonts w:cs="Arial"/>
                <w:iCs/>
              </w:rPr>
              <w:t xml:space="preserve">BP Mensal </w:t>
            </w:r>
            <w:r>
              <w:rPr>
                <w:rFonts w:cs="Arial"/>
                <w:iCs/>
              </w:rPr>
              <w:t>superior</w:t>
            </w:r>
            <w:r w:rsidRPr="00DD5994">
              <w:rPr>
                <w:rFonts w:cs="Arial"/>
                <w:iCs/>
              </w:rPr>
              <w:t xml:space="preserve"> a 10.000m3</w:t>
            </w:r>
          </w:p>
        </w:tc>
        <w:tc>
          <w:tcPr>
            <w:tcW w:w="1753" w:type="dxa"/>
            <w:tcBorders>
              <w:top w:val="single" w:sz="18" w:space="0" w:color="FF0000"/>
              <w:bottom w:val="single" w:sz="18" w:space="0" w:color="C0C0C0"/>
            </w:tcBorders>
            <w:vAlign w:val="center"/>
          </w:tcPr>
          <w:p w:rsidR="00D22B35" w:rsidRPr="00DD5994" w:rsidRDefault="00D22B35" w:rsidP="00A17BF5">
            <w:pPr>
              <w:spacing w:before="60" w:after="60"/>
              <w:jc w:val="center"/>
              <w:rPr>
                <w:rFonts w:cs="Arial"/>
                <w:iCs/>
              </w:rPr>
            </w:pPr>
            <w:r w:rsidRPr="00DD5994">
              <w:rPr>
                <w:rFonts w:cs="Arial"/>
                <w:iCs/>
              </w:rPr>
              <w:t>Gás Natural</w:t>
            </w:r>
          </w:p>
        </w:tc>
        <w:tc>
          <w:tcPr>
            <w:tcW w:w="1990" w:type="dxa"/>
            <w:tcBorders>
              <w:top w:val="single" w:sz="18" w:space="0" w:color="FF0000"/>
              <w:bottom w:val="single" w:sz="18" w:space="0" w:color="C0C0C0"/>
            </w:tcBorders>
            <w:vAlign w:val="center"/>
          </w:tcPr>
          <w:p w:rsidR="00D22B35" w:rsidRPr="00DD5994" w:rsidRDefault="00D22B35" w:rsidP="00A17BF5">
            <w:pPr>
              <w:spacing w:before="60" w:after="60"/>
              <w:jc w:val="center"/>
              <w:rPr>
                <w:rFonts w:cs="Arial"/>
                <w:iCs/>
              </w:rPr>
            </w:pPr>
            <w:r>
              <w:rPr>
                <w:rFonts w:cs="Century Gothic"/>
              </w:rPr>
              <w:t>0,021743</w:t>
            </w:r>
          </w:p>
        </w:tc>
      </w:tr>
    </w:tbl>
    <w:p w:rsidR="00D22B35" w:rsidRPr="00DD5994" w:rsidRDefault="00D22B35" w:rsidP="00D22B35">
      <w:pPr>
        <w:pStyle w:val="ListParagraph"/>
        <w:autoSpaceDE w:val="0"/>
        <w:autoSpaceDN w:val="0"/>
        <w:adjustRightInd w:val="0"/>
        <w:jc w:val="both"/>
        <w:rPr>
          <w:rFonts w:cs="Arial"/>
        </w:rPr>
      </w:pPr>
      <w:r w:rsidRPr="00DD5994">
        <w:rPr>
          <w:rFonts w:cs="Arial"/>
        </w:rPr>
        <w:t xml:space="preserve">Nota: o preço apresentado não inclui as componentes de acesso às redes. </w:t>
      </w:r>
    </w:p>
    <w:p w:rsidR="00D22B35" w:rsidRPr="00DD5994" w:rsidRDefault="00D22B35" w:rsidP="00ED72CC">
      <w:pPr>
        <w:pStyle w:val="ListParagraph"/>
        <w:autoSpaceDE w:val="0"/>
        <w:autoSpaceDN w:val="0"/>
        <w:adjustRightInd w:val="0"/>
        <w:jc w:val="both"/>
        <w:rPr>
          <w:rFonts w:cs="Arial"/>
        </w:rPr>
      </w:pPr>
    </w:p>
    <w:p w:rsidR="004B0C3D" w:rsidRDefault="00E623D2" w:rsidP="0062507D">
      <w:pPr>
        <w:jc w:val="both"/>
        <w:rPr>
          <w:rFonts w:ascii="Calibri" w:hAnsi="Calibri"/>
        </w:rPr>
      </w:pPr>
      <w:r>
        <w:rPr>
          <w:rFonts w:cs="Calibri"/>
        </w:rPr>
        <w:t>(*)</w:t>
      </w:r>
      <w:r w:rsidRPr="00DA49B7">
        <w:rPr>
          <w:rFonts w:ascii="Calibri" w:hAnsi="Calibri"/>
        </w:rPr>
        <w:t xml:space="preserve">Os preços unitários propostos são apresentados com </w:t>
      </w:r>
      <w:r w:rsidR="00ED4E2C">
        <w:rPr>
          <w:rFonts w:ascii="Calibri" w:hAnsi="Calibri"/>
        </w:rPr>
        <w:t>6</w:t>
      </w:r>
      <w:r w:rsidRPr="00DA49B7">
        <w:rPr>
          <w:rFonts w:ascii="Calibri" w:hAnsi="Calibri"/>
        </w:rPr>
        <w:t xml:space="preserve"> (</w:t>
      </w:r>
      <w:r w:rsidR="00ED4E2C">
        <w:rPr>
          <w:rFonts w:ascii="Calibri" w:hAnsi="Calibri"/>
        </w:rPr>
        <w:t>seis</w:t>
      </w:r>
      <w:r w:rsidRPr="00DA49B7">
        <w:rPr>
          <w:rFonts w:ascii="Calibri" w:hAnsi="Calibri"/>
        </w:rPr>
        <w:t>) casa</w:t>
      </w:r>
      <w:r>
        <w:rPr>
          <w:rFonts w:ascii="Calibri" w:hAnsi="Calibri"/>
        </w:rPr>
        <w:t>s</w:t>
      </w:r>
      <w:r w:rsidRPr="00DA49B7">
        <w:rPr>
          <w:rFonts w:ascii="Calibri" w:hAnsi="Calibri"/>
        </w:rPr>
        <w:t xml:space="preserve"> decimais, de acordo com </w:t>
      </w:r>
      <w:r>
        <w:rPr>
          <w:rFonts w:ascii="Calibri" w:hAnsi="Calibri"/>
        </w:rPr>
        <w:t>a apresentação d</w:t>
      </w:r>
      <w:r w:rsidRPr="00DA49B7">
        <w:rPr>
          <w:rFonts w:ascii="Calibri" w:hAnsi="Calibri"/>
        </w:rPr>
        <w:t>as tarifas de acesso às redes publicadas pela ERSE.</w:t>
      </w:r>
    </w:p>
    <w:p w:rsidR="00D22B35" w:rsidRDefault="00D22B35" w:rsidP="0062507D">
      <w:pPr>
        <w:jc w:val="both"/>
        <w:rPr>
          <w:rFonts w:ascii="Calibri" w:hAnsi="Calibri"/>
        </w:rPr>
      </w:pPr>
    </w:p>
    <w:p w:rsidR="004F2852" w:rsidRPr="00DD5994" w:rsidRDefault="00CC58C9" w:rsidP="00ED72CC">
      <w:pPr>
        <w:pStyle w:val="ListParagraph"/>
        <w:keepNext/>
        <w:numPr>
          <w:ilvl w:val="0"/>
          <w:numId w:val="5"/>
        </w:numPr>
        <w:tabs>
          <w:tab w:val="num" w:pos="540"/>
        </w:tabs>
        <w:spacing w:after="120" w:line="240" w:lineRule="auto"/>
        <w:ind w:left="714" w:hanging="357"/>
        <w:jc w:val="both"/>
      </w:pPr>
      <w:r w:rsidRPr="00DD5994">
        <w:t xml:space="preserve">Outras Custos Legalmente Obrigatórias </w:t>
      </w:r>
      <w:r w:rsidR="001B2FFF" w:rsidRPr="00DD5994">
        <w:t>(incluindo a Taxa de Ocupação do Subsolo)</w:t>
      </w:r>
    </w:p>
    <w:p w:rsidR="001117C6" w:rsidRPr="00DD5994" w:rsidRDefault="004F2852" w:rsidP="002E3C3E">
      <w:pPr>
        <w:spacing w:after="0" w:line="240" w:lineRule="auto"/>
        <w:ind w:left="720"/>
        <w:jc w:val="both"/>
        <w:rPr>
          <w:rFonts w:eastAsia="Times New Roman" w:cs="Times New Roman"/>
        </w:rPr>
      </w:pPr>
      <w:r w:rsidRPr="00DD5994">
        <w:rPr>
          <w:rFonts w:eastAsia="Times New Roman" w:cs="Times New Roman"/>
        </w:rPr>
        <w:t>Quaisquer outros custos e encargos que, nos termos da legislação e regulamentação aplicáveis, devam ser cobrados aos consumidores finais pelos comercializadores de gás natural.</w:t>
      </w:r>
    </w:p>
    <w:p w:rsidR="00D26FEF" w:rsidRPr="00DD5994" w:rsidRDefault="00D26FEF" w:rsidP="00241814">
      <w:pPr>
        <w:jc w:val="both"/>
        <w:rPr>
          <w:rFonts w:cs="Calibri"/>
        </w:rPr>
      </w:pPr>
    </w:p>
    <w:p w:rsidR="00CC58C9" w:rsidRPr="00DD5994" w:rsidRDefault="00CC58C9" w:rsidP="00CC58C9">
      <w:pPr>
        <w:tabs>
          <w:tab w:val="num" w:pos="540"/>
        </w:tabs>
        <w:jc w:val="both"/>
      </w:pPr>
      <w:r w:rsidRPr="00DD5994">
        <w:t>2.2) Parcelas incluídas na presente proposta:</w:t>
      </w:r>
    </w:p>
    <w:p w:rsidR="00CC58C9" w:rsidRPr="00DD5994" w:rsidRDefault="00CC58C9" w:rsidP="00CC58C9">
      <w:pPr>
        <w:tabs>
          <w:tab w:val="num" w:pos="540"/>
        </w:tabs>
        <w:jc w:val="both"/>
      </w:pPr>
      <w:r w:rsidRPr="00DD5994">
        <w:t>a) As componentes que integram a Tarifa de Acesso às Redes (Termo Fixo e Energia de acesso às redes) estão incluídas no preço contratual estimado acima indicado.</w:t>
      </w:r>
    </w:p>
    <w:p w:rsidR="00CC58C9" w:rsidRPr="00DD5994" w:rsidRDefault="00CC58C9" w:rsidP="00CC58C9">
      <w:pPr>
        <w:tabs>
          <w:tab w:val="num" w:pos="540"/>
        </w:tabs>
        <w:jc w:val="both"/>
      </w:pPr>
      <w:r w:rsidRPr="00DD5994">
        <w:t>b) A componente de Energia consumida está incluída no preço contratual estimado acima indicado.</w:t>
      </w:r>
    </w:p>
    <w:p w:rsidR="00CC58C9" w:rsidRPr="00DD5994" w:rsidRDefault="00F11F1A" w:rsidP="00CC58C9">
      <w:pPr>
        <w:tabs>
          <w:tab w:val="num" w:pos="540"/>
        </w:tabs>
        <w:jc w:val="both"/>
      </w:pPr>
      <w:r>
        <w:t>c) As componentes de Outro</w:t>
      </w:r>
      <w:r w:rsidR="00CC58C9" w:rsidRPr="00DD5994">
        <w:t>s Custos estão incluídas no preço contratual estimado acima indicado.</w:t>
      </w:r>
    </w:p>
    <w:p w:rsidR="00D22B35" w:rsidRDefault="00D22B35" w:rsidP="00CC58C9">
      <w:pPr>
        <w:tabs>
          <w:tab w:val="num" w:pos="540"/>
        </w:tabs>
        <w:jc w:val="both"/>
      </w:pPr>
    </w:p>
    <w:p w:rsidR="00CC58C9" w:rsidRPr="00DD5994" w:rsidRDefault="00CC58C9" w:rsidP="00CC58C9">
      <w:pPr>
        <w:tabs>
          <w:tab w:val="num" w:pos="540"/>
        </w:tabs>
        <w:jc w:val="both"/>
      </w:pPr>
      <w:r w:rsidRPr="00DD5994">
        <w:lastRenderedPageBreak/>
        <w:t>A Parcela referente à Tarifa de Acesso às Redes aplicável a consumidores fornecidos por comercializadores, que não o comercializ</w:t>
      </w:r>
      <w:r w:rsidR="002829A2">
        <w:t>ador de último recurso, será fa</w:t>
      </w:r>
      <w:r w:rsidRPr="00DD5994">
        <w:t>turada tal como definida, a cada momento, pela Entidade Reguladora dos Serviços Energéticos (“ERSE”). O valor concreto desta parcela será definido a cada momento tendo em conta o disposto no Regulamento Tarifário, emitido pela ERSE, aplicável à data de prestação dos serviços de fornecimento de Gás Natural.</w:t>
      </w:r>
    </w:p>
    <w:p w:rsidR="00CC58C9" w:rsidRPr="00DD5994" w:rsidRDefault="00CC58C9" w:rsidP="00ED72CC">
      <w:pPr>
        <w:tabs>
          <w:tab w:val="num" w:pos="540"/>
        </w:tabs>
        <w:spacing w:after="240"/>
        <w:jc w:val="both"/>
        <w:rPr>
          <w:rFonts w:eastAsia="Times New Roman" w:cs="Arial"/>
        </w:rPr>
      </w:pPr>
      <w:r w:rsidRPr="00DD5994">
        <w:t>A facturação correspondente à Taxa de Ocupação do Subsolo será faturada tal como definida pelo distribuidor da zona de cada local de consumo</w:t>
      </w:r>
      <w:r w:rsidRPr="00DD5994">
        <w:rPr>
          <w:rFonts w:eastAsia="Times New Roman" w:cs="Arial"/>
        </w:rPr>
        <w:t>.</w:t>
      </w:r>
    </w:p>
    <w:p w:rsidR="00990502" w:rsidRPr="00DD5994" w:rsidRDefault="00990502" w:rsidP="00990502">
      <w:pPr>
        <w:pStyle w:val="ListParagraph"/>
        <w:numPr>
          <w:ilvl w:val="0"/>
          <w:numId w:val="8"/>
        </w:numPr>
        <w:tabs>
          <w:tab w:val="left" w:pos="426"/>
        </w:tabs>
        <w:ind w:left="0" w:firstLine="0"/>
        <w:jc w:val="both"/>
        <w:outlineLvl w:val="0"/>
        <w:rPr>
          <w:b/>
        </w:rPr>
      </w:pPr>
      <w:r w:rsidRPr="00DD5994">
        <w:rPr>
          <w:b/>
        </w:rPr>
        <w:t>Facturação</w:t>
      </w:r>
    </w:p>
    <w:p w:rsidR="00990502" w:rsidRPr="00DD5994" w:rsidRDefault="00990502" w:rsidP="00990502">
      <w:pPr>
        <w:jc w:val="both"/>
      </w:pPr>
      <w:r w:rsidRPr="00DD5994">
        <w:rPr>
          <w:rFonts w:cs="Calibri"/>
        </w:rPr>
        <w:t>A facturação a emitir mensalmente pela EDP Comercial inclui os valores devidos pelo Cliente pelo fornecimento de gás natural disponibilizado aos Pontos de Consumo no mês relevante, tendo por base a informação sobre os dados de consumo, de cada Ponto de Consumo, disponibilizados pelos Operadores de Redes</w:t>
      </w:r>
      <w:r w:rsidRPr="00DD5994">
        <w:t>.</w:t>
      </w:r>
    </w:p>
    <w:p w:rsidR="001B2FFF" w:rsidRPr="00DD5994" w:rsidRDefault="001B2FFF" w:rsidP="00ED72CC">
      <w:pPr>
        <w:tabs>
          <w:tab w:val="num" w:pos="540"/>
        </w:tabs>
        <w:spacing w:after="240"/>
        <w:jc w:val="both"/>
      </w:pPr>
      <w:r w:rsidRPr="00DD5994">
        <w:t>A Parcela referente à Taxa</w:t>
      </w:r>
      <w:r w:rsidR="002829A2">
        <w:t xml:space="preserve"> de Ocupação do Subsolo será fa</w:t>
      </w:r>
      <w:r w:rsidRPr="00DD5994">
        <w:t>turada tal como definida pelo distribuidor da zona de cada local de consumo</w:t>
      </w:r>
      <w:r w:rsidR="00D24C26">
        <w:t>, caso se aplique ao Município</w:t>
      </w:r>
      <w:r w:rsidRPr="00DD5994">
        <w:t>.</w:t>
      </w:r>
    </w:p>
    <w:p w:rsidR="001117C6" w:rsidRDefault="00990502" w:rsidP="00990502">
      <w:pPr>
        <w:pStyle w:val="ListParagraph"/>
        <w:numPr>
          <w:ilvl w:val="0"/>
          <w:numId w:val="8"/>
        </w:numPr>
        <w:tabs>
          <w:tab w:val="left" w:pos="426"/>
        </w:tabs>
        <w:ind w:left="0" w:firstLine="0"/>
        <w:jc w:val="both"/>
        <w:outlineLvl w:val="0"/>
        <w:rPr>
          <w:b/>
        </w:rPr>
      </w:pPr>
      <w:r w:rsidRPr="00DD5994">
        <w:rPr>
          <w:b/>
        </w:rPr>
        <w:t>Condições de Pagamento</w:t>
      </w:r>
    </w:p>
    <w:p w:rsidR="00EC2BB2" w:rsidRPr="00EC2BB2" w:rsidRDefault="00EC2BB2" w:rsidP="00EC2BB2">
      <w:pPr>
        <w:autoSpaceDE w:val="0"/>
        <w:autoSpaceDN w:val="0"/>
        <w:adjustRightInd w:val="0"/>
        <w:jc w:val="both"/>
        <w:rPr>
          <w:rFonts w:cs="Calibri"/>
        </w:rPr>
      </w:pPr>
      <w:r w:rsidRPr="00EC2BB2">
        <w:rPr>
          <w:rFonts w:cs="Calibri"/>
        </w:rPr>
        <w:t>O prazo de vencimento das faturas é o definido no caderno de encargos.</w:t>
      </w:r>
    </w:p>
    <w:p w:rsidR="003F1B77" w:rsidRPr="00DD5994" w:rsidRDefault="003F1B77" w:rsidP="00ED72CC">
      <w:pPr>
        <w:spacing w:after="240"/>
        <w:jc w:val="both"/>
        <w:rPr>
          <w:rFonts w:cs="Calibri"/>
        </w:rPr>
      </w:pPr>
      <w:r w:rsidRPr="00DD5994">
        <w:rPr>
          <w:rFonts w:cs="Calibri"/>
        </w:rPr>
        <w:t xml:space="preserve">O atraso no pagamento das </w:t>
      </w:r>
      <w:r w:rsidR="002829A2">
        <w:rPr>
          <w:rFonts w:cs="Calibri"/>
        </w:rPr>
        <w:t>faturas</w:t>
      </w:r>
      <w:r w:rsidRPr="00DD5994">
        <w:rPr>
          <w:rFonts w:cs="Calibri"/>
        </w:rPr>
        <w:t xml:space="preserve"> confere à EDP Comercial o direito a cobrar juros de mora sobre o valor em dívida calculados, a partir do primeiro dia seguinte ao vencimento (inclusive) e</w:t>
      </w:r>
      <w:r w:rsidR="002829A2">
        <w:rPr>
          <w:rFonts w:cs="Calibri"/>
        </w:rPr>
        <w:t xml:space="preserve"> até ao efe</w:t>
      </w:r>
      <w:r w:rsidRPr="00DD5994">
        <w:rPr>
          <w:rFonts w:cs="Calibri"/>
        </w:rPr>
        <w:t>tivo pagamento, à taxa legal que vigorar na data de vencimento.</w:t>
      </w:r>
    </w:p>
    <w:p w:rsidR="003F1B77" w:rsidRPr="00DD5994" w:rsidRDefault="003F1B77" w:rsidP="003F1B77">
      <w:pPr>
        <w:pStyle w:val="ListParagraph"/>
        <w:numPr>
          <w:ilvl w:val="0"/>
          <w:numId w:val="8"/>
        </w:numPr>
        <w:tabs>
          <w:tab w:val="left" w:pos="426"/>
        </w:tabs>
        <w:ind w:left="0" w:firstLine="0"/>
        <w:jc w:val="both"/>
        <w:outlineLvl w:val="0"/>
        <w:rPr>
          <w:b/>
        </w:rPr>
      </w:pPr>
      <w:r w:rsidRPr="00DD5994">
        <w:rPr>
          <w:b/>
        </w:rPr>
        <w:t>Vigência do Contrato a celebrar:</w:t>
      </w:r>
    </w:p>
    <w:p w:rsidR="003F1B77" w:rsidRPr="00DD5994" w:rsidRDefault="003F1B77" w:rsidP="003F1B77">
      <w:pPr>
        <w:jc w:val="both"/>
        <w:outlineLvl w:val="0"/>
        <w:rPr>
          <w:b/>
          <w:u w:val="single"/>
        </w:rPr>
      </w:pPr>
      <w:r w:rsidRPr="00DD5994">
        <w:t xml:space="preserve">O Contrato a celebrar entrará em vigor na data da sua assinatura e produzirá efeitos, em relação a cada um dos Locais de Consumo, individualmente considerados, na data em que estiverem reunidas as condições legais e regulamentares de acesso ao fornecimento de gás natural por comercializadores, que não o comercializador de último recurso, incluindo os procedimentos de mudança de fornecedor. </w:t>
      </w:r>
    </w:p>
    <w:p w:rsidR="00EC2BB2" w:rsidRPr="008F0C61" w:rsidRDefault="003F1B77" w:rsidP="00EC2BB2">
      <w:pPr>
        <w:jc w:val="both"/>
        <w:rPr>
          <w:rFonts w:ascii="Calibri" w:hAnsi="Calibri" w:cs="Arial"/>
        </w:rPr>
      </w:pPr>
      <w:r w:rsidRPr="00DD5994">
        <w:rPr>
          <w:rFonts w:cs="Arial"/>
        </w:rPr>
        <w:t xml:space="preserve">O contrato tem a duração de </w:t>
      </w:r>
      <w:r w:rsidR="008E6D6F" w:rsidRPr="00DD5994">
        <w:rPr>
          <w:rFonts w:cs="Arial"/>
        </w:rPr>
        <w:t>1</w:t>
      </w:r>
      <w:r w:rsidR="00D22B35">
        <w:rPr>
          <w:rFonts w:cs="Arial"/>
        </w:rPr>
        <w:t>8</w:t>
      </w:r>
      <w:r w:rsidRPr="00DD5994">
        <w:rPr>
          <w:rFonts w:cs="Arial"/>
        </w:rPr>
        <w:t xml:space="preserve"> (</w:t>
      </w:r>
      <w:r w:rsidR="008E6D6F" w:rsidRPr="00DD5994">
        <w:rPr>
          <w:rFonts w:cs="Arial"/>
        </w:rPr>
        <w:t>d</w:t>
      </w:r>
      <w:r w:rsidR="00D22B35">
        <w:rPr>
          <w:rFonts w:cs="Arial"/>
        </w:rPr>
        <w:t>ezoito</w:t>
      </w:r>
      <w:r w:rsidRPr="00DD5994">
        <w:rPr>
          <w:rFonts w:cs="Arial"/>
        </w:rPr>
        <w:t xml:space="preserve">) meses a contar da data da sua entrada em vigor, </w:t>
      </w:r>
      <w:r w:rsidR="00EC2BB2">
        <w:t>e</w:t>
      </w:r>
      <w:r w:rsidR="00EC2BB2" w:rsidRPr="0051464A">
        <w:t xml:space="preserve"> termina de acordo com o referido no Caderno de Encargos</w:t>
      </w:r>
      <w:r w:rsidR="00EC2BB2" w:rsidRPr="0051464A">
        <w:rPr>
          <w:rFonts w:ascii="Calibri" w:hAnsi="Calibri" w:cs="Arial"/>
        </w:rPr>
        <w:t>.</w:t>
      </w:r>
    </w:p>
    <w:p w:rsidR="001117C6" w:rsidRPr="00E03280" w:rsidRDefault="001117C6" w:rsidP="00E03280">
      <w:pPr>
        <w:pStyle w:val="ListParagraph"/>
        <w:numPr>
          <w:ilvl w:val="0"/>
          <w:numId w:val="8"/>
        </w:numPr>
        <w:ind w:left="426" w:hanging="426"/>
        <w:jc w:val="both"/>
        <w:rPr>
          <w:b/>
        </w:rPr>
      </w:pPr>
      <w:r w:rsidRPr="00E03280">
        <w:rPr>
          <w:b/>
        </w:rPr>
        <w:t>Qualidade de Serviço</w:t>
      </w:r>
    </w:p>
    <w:p w:rsidR="001117C6" w:rsidRPr="00DD5994" w:rsidRDefault="001117C6" w:rsidP="0062507D">
      <w:pPr>
        <w:jc w:val="both"/>
        <w:outlineLvl w:val="0"/>
      </w:pPr>
      <w:r w:rsidRPr="00DD5994">
        <w:t>O fo</w:t>
      </w:r>
      <w:r w:rsidR="00B26942">
        <w:t>rnecimento de gás natural a efe</w:t>
      </w:r>
      <w:r w:rsidRPr="00DD5994">
        <w:t xml:space="preserve">tuar pela EDP </w:t>
      </w:r>
      <w:r w:rsidR="004826C8" w:rsidRPr="00DD5994">
        <w:t>Comercial</w:t>
      </w:r>
      <w:r w:rsidRPr="00DD5994">
        <w:t xml:space="preserve"> no âmbito da presente proposta observará os parâmetros de qualidade de serviço definidos no Regulamento da Qualidade de Serviço.</w:t>
      </w:r>
    </w:p>
    <w:p w:rsidR="00A36DB8" w:rsidRPr="00DD5994" w:rsidRDefault="00A36DB8" w:rsidP="00A36DB8">
      <w:pPr>
        <w:jc w:val="both"/>
      </w:pPr>
      <w:r w:rsidRPr="00DD5994">
        <w:lastRenderedPageBreak/>
        <w:t>As condições da qualidade de serviço do fornecimento de Gás Natural (cortes, interrupções, etc.) são da exclusiva responsabilidade do Operador de Redes, não tendo a EDP Comercial qualquer tipo de controlo sobre estas questões.</w:t>
      </w:r>
    </w:p>
    <w:p w:rsidR="00A36DB8" w:rsidRPr="00DD5994" w:rsidRDefault="00A36DB8" w:rsidP="00A36DB8">
      <w:pPr>
        <w:tabs>
          <w:tab w:val="left" w:pos="426"/>
        </w:tabs>
        <w:jc w:val="both"/>
      </w:pPr>
      <w:r w:rsidRPr="00DD5994">
        <w:t>A EDP Comercial não pode, em caso algum, ser responsabilizada pelo incumprimento de qualquer das condições de Qualidade de Serviço definidas pela ERSE, quando essa inconformidade resultar de um incumprimento por parte dos Operadores das Redes de Distribuição.</w:t>
      </w:r>
    </w:p>
    <w:p w:rsidR="00A36DB8" w:rsidRPr="00DD5994" w:rsidRDefault="00A36DB8" w:rsidP="00A36DB8">
      <w:pPr>
        <w:jc w:val="both"/>
      </w:pPr>
      <w:r w:rsidRPr="00DD5994">
        <w:t>Nos termos do disposto no Regulamento das Relações Comercias e no Regulamento da Qualidade de Serviço, não é da competência do Comercializador de Energia Elétrica assegurar a reposição das condições necessárias para garantir o fornecimento de Gás Natural em total cumprimento com as exigências legais e as características, especificações e requisitos técnicos exigidos, mas sim, do Operador de Redes.</w:t>
      </w:r>
    </w:p>
    <w:p w:rsidR="00A36DB8" w:rsidRPr="00DD5994" w:rsidRDefault="00A36DB8" w:rsidP="00A36DB8">
      <w:pPr>
        <w:jc w:val="both"/>
      </w:pPr>
      <w:r w:rsidRPr="00DD5994">
        <w:t xml:space="preserve">A EDP Comercial assegura o cumprimento das obrigações decorrentes do acesso às redes de distribuição, designadamente o </w:t>
      </w:r>
      <w:r w:rsidR="00E726AF">
        <w:t>respe</w:t>
      </w:r>
      <w:r w:rsidRPr="00DD5994">
        <w:t>tivo pagamento, relativamente ao Operador da Rede de Distribuição a que as instalações em que o fornecimento terá lugar se encontram ligadas.</w:t>
      </w:r>
    </w:p>
    <w:p w:rsidR="003F1B77" w:rsidRPr="00DD5994" w:rsidRDefault="003F1B77" w:rsidP="003F1B77">
      <w:pPr>
        <w:pStyle w:val="ListParagraph"/>
        <w:numPr>
          <w:ilvl w:val="0"/>
          <w:numId w:val="8"/>
        </w:numPr>
        <w:tabs>
          <w:tab w:val="left" w:pos="426"/>
        </w:tabs>
        <w:ind w:left="0" w:firstLine="0"/>
        <w:jc w:val="both"/>
        <w:outlineLvl w:val="0"/>
        <w:rPr>
          <w:b/>
        </w:rPr>
      </w:pPr>
      <w:r w:rsidRPr="00DD5994">
        <w:rPr>
          <w:b/>
        </w:rPr>
        <w:t>Gestor de Contrato</w:t>
      </w:r>
    </w:p>
    <w:p w:rsidR="00ED72CC" w:rsidRPr="00DD5994" w:rsidRDefault="00ED72CC" w:rsidP="00ED72CC">
      <w:pPr>
        <w:spacing w:after="0"/>
        <w:jc w:val="both"/>
        <w:outlineLvl w:val="0"/>
      </w:pPr>
      <w:r w:rsidRPr="00DD5994">
        <w:t xml:space="preserve">Nome do Gestor de Contrato: </w:t>
      </w:r>
      <w:r w:rsidR="00732899" w:rsidRPr="00DD5994">
        <w:t>Joaquim Fragoeiro</w:t>
      </w:r>
    </w:p>
    <w:p w:rsidR="00ED72CC" w:rsidRPr="00DD5994" w:rsidRDefault="00ED72CC" w:rsidP="00ED72CC">
      <w:pPr>
        <w:spacing w:after="0"/>
        <w:jc w:val="both"/>
        <w:outlineLvl w:val="0"/>
      </w:pPr>
      <w:r w:rsidRPr="00DD5994">
        <w:t xml:space="preserve">Morada de Contacto: Rua </w:t>
      </w:r>
      <w:r w:rsidR="00732899" w:rsidRPr="00DD5994">
        <w:t>Camilo Castelo Branco, nº 46, 2º piso, 1050-045 Lisboa</w:t>
      </w:r>
    </w:p>
    <w:p w:rsidR="00ED72CC" w:rsidRPr="00DD5994" w:rsidRDefault="00ED72CC" w:rsidP="00ED72CC">
      <w:pPr>
        <w:spacing w:after="0"/>
        <w:jc w:val="both"/>
        <w:outlineLvl w:val="0"/>
      </w:pPr>
      <w:r w:rsidRPr="00DD5994">
        <w:t>Nº. Telefone fixo:</w:t>
      </w:r>
      <w:r w:rsidRPr="00DD5994">
        <w:rPr>
          <w:rFonts w:cs="Century Gothic"/>
          <w:color w:val="000000"/>
        </w:rPr>
        <w:t xml:space="preserve"> </w:t>
      </w:r>
      <w:r w:rsidRPr="00DD5994">
        <w:t>+351 210 0</w:t>
      </w:r>
      <w:r w:rsidR="00732899" w:rsidRPr="00DD5994">
        <w:t>97</w:t>
      </w:r>
      <w:r w:rsidRPr="00DD5994">
        <w:t xml:space="preserve"> </w:t>
      </w:r>
      <w:r w:rsidR="00732899" w:rsidRPr="00DD5994">
        <w:t>064</w:t>
      </w:r>
    </w:p>
    <w:p w:rsidR="00ED72CC" w:rsidRPr="00DD5994" w:rsidRDefault="00D26FEF" w:rsidP="00ED72CC">
      <w:pPr>
        <w:spacing w:after="0"/>
        <w:jc w:val="both"/>
        <w:outlineLvl w:val="0"/>
      </w:pPr>
      <w:r w:rsidRPr="00DD5994">
        <w:t xml:space="preserve">Nº. Telefone móvel: +351 </w:t>
      </w:r>
      <w:r w:rsidR="00732899" w:rsidRPr="00DD5994">
        <w:t>938 189 780</w:t>
      </w:r>
    </w:p>
    <w:p w:rsidR="00ED72CC" w:rsidRPr="00DD5994" w:rsidRDefault="00D26FEF" w:rsidP="00ED72CC">
      <w:pPr>
        <w:jc w:val="both"/>
        <w:outlineLvl w:val="0"/>
        <w:rPr>
          <w:lang w:val="en-US"/>
        </w:rPr>
      </w:pPr>
      <w:r w:rsidRPr="00DD5994">
        <w:rPr>
          <w:lang w:val="en-US"/>
        </w:rPr>
        <w:t xml:space="preserve">Email: </w:t>
      </w:r>
      <w:r w:rsidR="00732899" w:rsidRPr="00DD5994">
        <w:rPr>
          <w:lang w:val="en-US"/>
        </w:rPr>
        <w:t>joaquim.fragoeiro@edp.pt</w:t>
      </w:r>
    </w:p>
    <w:p w:rsidR="0045531C" w:rsidRPr="00DD5994" w:rsidRDefault="0045531C" w:rsidP="002E3C3E">
      <w:pPr>
        <w:spacing w:after="0" w:line="240" w:lineRule="auto"/>
        <w:jc w:val="both"/>
        <w:rPr>
          <w:rFonts w:eastAsia="Times New Roman" w:cs="Times New Roman"/>
          <w:lang w:val="en-US"/>
        </w:rPr>
      </w:pPr>
    </w:p>
    <w:p w:rsidR="001117C6" w:rsidRPr="002829A2" w:rsidRDefault="001117C6" w:rsidP="002829A2">
      <w:pPr>
        <w:pStyle w:val="ListParagraph"/>
        <w:numPr>
          <w:ilvl w:val="0"/>
          <w:numId w:val="8"/>
        </w:numPr>
        <w:tabs>
          <w:tab w:val="left" w:pos="426"/>
        </w:tabs>
        <w:ind w:left="0" w:firstLine="0"/>
        <w:jc w:val="both"/>
        <w:outlineLvl w:val="0"/>
        <w:rPr>
          <w:b/>
        </w:rPr>
      </w:pPr>
      <w:r w:rsidRPr="002829A2">
        <w:rPr>
          <w:b/>
        </w:rPr>
        <w:t>Validade da Proposta</w:t>
      </w:r>
    </w:p>
    <w:p w:rsidR="0067794A" w:rsidRDefault="001117C6" w:rsidP="00D22B35">
      <w:pPr>
        <w:jc w:val="both"/>
        <w:outlineLvl w:val="0"/>
        <w:rPr>
          <w:rFonts w:cs="Calibri"/>
        </w:rPr>
      </w:pPr>
      <w:r w:rsidRPr="00DD5994">
        <w:rPr>
          <w:rFonts w:eastAsia="Times New Roman" w:cs="Times New Roman"/>
        </w:rPr>
        <w:t xml:space="preserve">Esta proposta é valida </w:t>
      </w:r>
      <w:r w:rsidR="00D22B35" w:rsidRPr="0051464A">
        <w:t>de acordo com o referido no Caderno de Encargos</w:t>
      </w:r>
      <w:r w:rsidR="00D22B35" w:rsidRPr="0051464A">
        <w:rPr>
          <w:rFonts w:ascii="Calibri" w:hAnsi="Calibri" w:cs="Arial"/>
        </w:rPr>
        <w:t>.</w:t>
      </w:r>
    </w:p>
    <w:p w:rsidR="00E726AF" w:rsidRPr="00DD5994" w:rsidRDefault="00E726AF" w:rsidP="0067794A">
      <w:pPr>
        <w:pStyle w:val="Default"/>
        <w:jc w:val="both"/>
        <w:rPr>
          <w:rFonts w:asciiTheme="minorHAnsi" w:hAnsiTheme="minorHAnsi" w:cs="Calibri"/>
          <w:sz w:val="22"/>
          <w:szCs w:val="22"/>
        </w:rPr>
      </w:pPr>
    </w:p>
    <w:p w:rsidR="00D26FEF" w:rsidRPr="00DD5994" w:rsidRDefault="00DF7E84" w:rsidP="00D26FEF">
      <w:pPr>
        <w:pStyle w:val="Default"/>
        <w:jc w:val="both"/>
        <w:rPr>
          <w:rFonts w:asciiTheme="minorHAnsi" w:hAnsiTheme="minorHAnsi" w:cs="Calibri"/>
          <w:sz w:val="22"/>
          <w:szCs w:val="22"/>
        </w:rPr>
      </w:pPr>
      <w:r w:rsidRPr="00DD5994">
        <w:rPr>
          <w:rFonts w:asciiTheme="minorHAnsi" w:hAnsiTheme="minorHAnsi" w:cs="Calibri"/>
          <w:sz w:val="22"/>
          <w:szCs w:val="22"/>
        </w:rPr>
        <w:t xml:space="preserve">   Lisboa, </w:t>
      </w:r>
      <w:r w:rsidR="00D22B35">
        <w:rPr>
          <w:rFonts w:asciiTheme="minorHAnsi" w:hAnsiTheme="minorHAnsi" w:cs="Calibri"/>
          <w:sz w:val="22"/>
          <w:szCs w:val="22"/>
        </w:rPr>
        <w:t>19 de Maio</w:t>
      </w:r>
      <w:r w:rsidR="00FF1F7F" w:rsidRPr="00DD5994">
        <w:rPr>
          <w:rFonts w:asciiTheme="minorHAnsi" w:hAnsiTheme="minorHAnsi" w:cs="Calibri"/>
          <w:sz w:val="22"/>
          <w:szCs w:val="22"/>
        </w:rPr>
        <w:t xml:space="preserve"> de 2016</w:t>
      </w:r>
    </w:p>
    <w:p w:rsidR="00FF1F7F" w:rsidRPr="00DD5994" w:rsidRDefault="00FF1F7F" w:rsidP="00D26FEF">
      <w:pPr>
        <w:pStyle w:val="Default"/>
        <w:jc w:val="both"/>
        <w:rPr>
          <w:rFonts w:asciiTheme="minorHAnsi" w:hAnsiTheme="minorHAnsi" w:cs="Calibri"/>
          <w:sz w:val="22"/>
          <w:szCs w:val="22"/>
        </w:rPr>
      </w:pPr>
    </w:p>
    <w:p w:rsidR="00D26FEF" w:rsidRPr="00DD5994" w:rsidRDefault="00D26FEF" w:rsidP="00D26FEF">
      <w:pPr>
        <w:pStyle w:val="Default"/>
        <w:jc w:val="both"/>
        <w:rPr>
          <w:rFonts w:asciiTheme="minorHAnsi" w:hAnsiTheme="minorHAnsi" w:cs="Calibri"/>
          <w:sz w:val="22"/>
          <w:szCs w:val="22"/>
        </w:rPr>
      </w:pPr>
      <w:r w:rsidRPr="00DD5994">
        <w:rPr>
          <w:rFonts w:asciiTheme="minorHAnsi" w:hAnsiTheme="minorHAnsi" w:cs="Calibri"/>
          <w:noProof/>
          <w:sz w:val="22"/>
          <w:szCs w:val="22"/>
          <w:lang w:eastAsia="pt-PT"/>
        </w:rPr>
        <w:drawing>
          <wp:inline distT="0" distB="0" distL="0" distR="0" wp14:anchorId="73CDDDD0" wp14:editId="3BC37C42">
            <wp:extent cx="2047875" cy="776678"/>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51178" cy="777931"/>
                    </a:xfrm>
                    <a:prstGeom prst="rect">
                      <a:avLst/>
                    </a:prstGeom>
                    <a:noFill/>
                    <a:ln>
                      <a:noFill/>
                    </a:ln>
                  </pic:spPr>
                </pic:pic>
              </a:graphicData>
            </a:graphic>
          </wp:inline>
        </w:drawing>
      </w:r>
    </w:p>
    <w:p w:rsidR="00D26FEF" w:rsidRPr="00DD5994" w:rsidRDefault="00D26FEF" w:rsidP="00D26FEF">
      <w:pPr>
        <w:spacing w:after="0" w:line="240" w:lineRule="auto"/>
      </w:pPr>
      <w:r w:rsidRPr="00DD5994">
        <w:t>_________________________________</w:t>
      </w:r>
    </w:p>
    <w:p w:rsidR="00D26FEF" w:rsidRPr="00DD5994" w:rsidRDefault="00D26FEF" w:rsidP="00D26FEF">
      <w:pPr>
        <w:spacing w:after="0" w:line="240" w:lineRule="auto"/>
        <w:ind w:left="426"/>
      </w:pPr>
    </w:p>
    <w:p w:rsidR="00D26FEF" w:rsidRPr="00DD5994" w:rsidRDefault="00D26FEF" w:rsidP="00D26FEF">
      <w:pPr>
        <w:spacing w:after="0" w:line="240" w:lineRule="auto"/>
      </w:pPr>
      <w:r w:rsidRPr="00DD5994">
        <w:t xml:space="preserve">   António José da Silva Coutinho</w:t>
      </w:r>
    </w:p>
    <w:p w:rsidR="00D26FEF" w:rsidRPr="00DD5994" w:rsidRDefault="00D26FEF" w:rsidP="00D26FEF">
      <w:pPr>
        <w:spacing w:after="0" w:line="240" w:lineRule="auto"/>
        <w:ind w:left="851"/>
      </w:pPr>
      <w:r w:rsidRPr="00DD5994">
        <w:t>Administrador</w:t>
      </w:r>
    </w:p>
    <w:p w:rsidR="00260D59" w:rsidRPr="00DD5994" w:rsidRDefault="00260D59" w:rsidP="00D26FEF">
      <w:pPr>
        <w:pStyle w:val="Default"/>
        <w:jc w:val="both"/>
        <w:rPr>
          <w:rFonts w:asciiTheme="minorHAnsi" w:hAnsiTheme="minorHAnsi"/>
          <w:sz w:val="22"/>
          <w:szCs w:val="22"/>
        </w:rPr>
      </w:pPr>
    </w:p>
    <w:sectPr w:rsidR="00260D59" w:rsidRPr="00DD5994" w:rsidSect="00CD3975">
      <w:headerReference w:type="default" r:id="rId9"/>
      <w:footerReference w:type="default" r:id="rId10"/>
      <w:pgSz w:w="11906" w:h="16838"/>
      <w:pgMar w:top="1417" w:right="1701" w:bottom="1417" w:left="1701" w:header="708"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76EE" w:rsidRDefault="00E476EE" w:rsidP="00AF6445">
      <w:pPr>
        <w:spacing w:after="0" w:line="240" w:lineRule="auto"/>
      </w:pPr>
      <w:r>
        <w:separator/>
      </w:r>
    </w:p>
  </w:endnote>
  <w:endnote w:type="continuationSeparator" w:id="0">
    <w:p w:rsidR="00E476EE" w:rsidRDefault="00E476EE" w:rsidP="00AF64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3D3D" w:rsidRDefault="00C63D3D" w:rsidP="00C63D3D">
    <w:pPr>
      <w:pStyle w:val="Footer"/>
      <w:pBdr>
        <w:top w:val="single" w:sz="4" w:space="1" w:color="auto"/>
      </w:pBdr>
      <w:jc w:val="center"/>
      <w:rPr>
        <w:rFonts w:ascii="Century Gothic" w:hAnsi="Century Gothic"/>
        <w:bCs/>
        <w:sz w:val="12"/>
        <w:szCs w:val="12"/>
      </w:rPr>
    </w:pPr>
    <w:r>
      <w:rPr>
        <w:rFonts w:ascii="Century Gothic" w:hAnsi="Century Gothic"/>
        <w:bCs/>
        <w:sz w:val="12"/>
        <w:szCs w:val="12"/>
      </w:rPr>
      <w:t xml:space="preserve">EDP Comercial – Comercialização de </w:t>
    </w:r>
    <w:r w:rsidRPr="00344468">
      <w:rPr>
        <w:rFonts w:ascii="Century Gothic" w:hAnsi="Century Gothic"/>
        <w:bCs/>
        <w:sz w:val="12"/>
        <w:szCs w:val="12"/>
      </w:rPr>
      <w:t xml:space="preserve">Energia, S.A. - Sede Social: </w:t>
    </w:r>
    <w:r w:rsidRPr="00344468">
      <w:rPr>
        <w:rFonts w:ascii="Century Gothic" w:hAnsi="Century Gothic" w:cs="Calibri"/>
        <w:sz w:val="12"/>
        <w:szCs w:val="12"/>
      </w:rPr>
      <w:t>Avenida 24 de Julho, n.º 12, 1249-300 Lisboa</w:t>
    </w:r>
  </w:p>
  <w:p w:rsidR="00C63D3D" w:rsidRDefault="00C63D3D" w:rsidP="00C63D3D">
    <w:pPr>
      <w:pStyle w:val="Footer"/>
      <w:pBdr>
        <w:top w:val="single" w:sz="4" w:space="1" w:color="auto"/>
      </w:pBdr>
      <w:jc w:val="center"/>
      <w:rPr>
        <w:rFonts w:ascii="Century Gothic" w:hAnsi="Century Gothic"/>
        <w:sz w:val="16"/>
        <w:szCs w:val="16"/>
      </w:rPr>
    </w:pPr>
    <w:r>
      <w:rPr>
        <w:rFonts w:ascii="Century Gothic" w:hAnsi="Century Gothic"/>
        <w:bCs/>
        <w:sz w:val="12"/>
        <w:szCs w:val="12"/>
      </w:rPr>
      <w:t xml:space="preserve">Registo </w:t>
    </w:r>
    <w:r w:rsidRPr="00344468">
      <w:rPr>
        <w:rFonts w:ascii="Century Gothic" w:hAnsi="Century Gothic"/>
        <w:bCs/>
        <w:sz w:val="12"/>
        <w:szCs w:val="12"/>
      </w:rPr>
      <w:t>CRC de Lisboa nº 544</w:t>
    </w:r>
    <w:r>
      <w:rPr>
        <w:rFonts w:ascii="Century Gothic" w:hAnsi="Century Gothic"/>
        <w:bCs/>
        <w:sz w:val="12"/>
        <w:szCs w:val="12"/>
      </w:rPr>
      <w:t>7 - NIPC 503504564 Capital Social: € 20 82</w:t>
    </w:r>
    <w:r w:rsidRPr="00344468">
      <w:rPr>
        <w:rFonts w:ascii="Century Gothic" w:hAnsi="Century Gothic"/>
        <w:bCs/>
        <w:sz w:val="12"/>
        <w:szCs w:val="12"/>
      </w:rPr>
      <w:t>4 695</w:t>
    </w:r>
  </w:p>
  <w:p w:rsidR="00E56F2F" w:rsidRDefault="00E56F2F" w:rsidP="00103429">
    <w:pPr>
      <w:pStyle w:val="Footer"/>
      <w:pBdr>
        <w:top w:val="single" w:sz="4" w:space="1" w:color="auto"/>
      </w:pBdr>
      <w:rPr>
        <w:rFonts w:ascii="Century Gothic" w:hAnsi="Century Gothic"/>
        <w:sz w:val="16"/>
        <w:szCs w:val="16"/>
      </w:rPr>
    </w:pPr>
    <w:r>
      <w:rPr>
        <w:rFonts w:ascii="Century Gothic" w:hAnsi="Century Gothic"/>
        <w:sz w:val="16"/>
        <w:szCs w:val="16"/>
      </w:rPr>
      <w:tab/>
    </w:r>
    <w:r>
      <w:rPr>
        <w:rFonts w:ascii="Century Gothic" w:hAnsi="Century Gothic"/>
        <w:sz w:val="16"/>
        <w:szCs w:val="16"/>
      </w:rPr>
      <w:tab/>
    </w:r>
  </w:p>
  <w:p w:rsidR="00E56F2F" w:rsidRPr="00686185" w:rsidRDefault="00E56F2F" w:rsidP="00103429">
    <w:pPr>
      <w:pStyle w:val="Footer"/>
      <w:pBdr>
        <w:top w:val="single" w:sz="4" w:space="1" w:color="auto"/>
      </w:pBdr>
      <w:rPr>
        <w:rFonts w:ascii="Century Gothic" w:hAnsi="Century Gothic"/>
        <w:sz w:val="16"/>
        <w:szCs w:val="16"/>
      </w:rPr>
    </w:pPr>
    <w:r>
      <w:rPr>
        <w:rFonts w:ascii="Century Gothic" w:hAnsi="Century Gothic"/>
        <w:sz w:val="16"/>
        <w:szCs w:val="16"/>
      </w:rPr>
      <w:tab/>
    </w:r>
    <w:r>
      <w:rPr>
        <w:rFonts w:ascii="Century Gothic" w:hAnsi="Century Gothic"/>
        <w:sz w:val="16"/>
        <w:szCs w:val="16"/>
      </w:rPr>
      <w:tab/>
      <w:t>P</w:t>
    </w:r>
    <w:r w:rsidRPr="003D1983">
      <w:rPr>
        <w:rFonts w:ascii="Century Gothic" w:hAnsi="Century Gothic" w:cs="Arial"/>
        <w:sz w:val="16"/>
        <w:szCs w:val="16"/>
      </w:rPr>
      <w:t>ág</w:t>
    </w:r>
    <w:r>
      <w:rPr>
        <w:rFonts w:ascii="Century Gothic" w:hAnsi="Century Gothic" w:cs="Arial"/>
        <w:sz w:val="16"/>
        <w:szCs w:val="16"/>
      </w:rPr>
      <w:t>ina</w:t>
    </w:r>
    <w:r w:rsidRPr="003D1983">
      <w:rPr>
        <w:rFonts w:ascii="Century Gothic" w:hAnsi="Century Gothic" w:cs="Arial"/>
        <w:sz w:val="16"/>
        <w:szCs w:val="16"/>
      </w:rPr>
      <w:t xml:space="preserve"> </w:t>
    </w:r>
    <w:r w:rsidRPr="003D1983">
      <w:rPr>
        <w:rStyle w:val="PageNumber"/>
        <w:rFonts w:ascii="Century Gothic" w:hAnsi="Century Gothic" w:cs="Arial"/>
        <w:sz w:val="16"/>
        <w:szCs w:val="16"/>
      </w:rPr>
      <w:fldChar w:fldCharType="begin"/>
    </w:r>
    <w:r w:rsidRPr="003D1983">
      <w:rPr>
        <w:rStyle w:val="PageNumber"/>
        <w:rFonts w:ascii="Century Gothic" w:hAnsi="Century Gothic" w:cs="Arial"/>
        <w:sz w:val="16"/>
        <w:szCs w:val="16"/>
      </w:rPr>
      <w:instrText xml:space="preserve"> PAGE </w:instrText>
    </w:r>
    <w:r w:rsidRPr="003D1983">
      <w:rPr>
        <w:rStyle w:val="PageNumber"/>
        <w:rFonts w:ascii="Century Gothic" w:hAnsi="Century Gothic" w:cs="Arial"/>
        <w:sz w:val="16"/>
        <w:szCs w:val="16"/>
      </w:rPr>
      <w:fldChar w:fldCharType="separate"/>
    </w:r>
    <w:r w:rsidR="005C0142">
      <w:rPr>
        <w:rStyle w:val="PageNumber"/>
        <w:rFonts w:ascii="Century Gothic" w:hAnsi="Century Gothic" w:cs="Arial"/>
        <w:noProof/>
        <w:sz w:val="16"/>
        <w:szCs w:val="16"/>
      </w:rPr>
      <w:t>1</w:t>
    </w:r>
    <w:r w:rsidRPr="003D1983">
      <w:rPr>
        <w:rStyle w:val="PageNumber"/>
        <w:rFonts w:ascii="Century Gothic" w:hAnsi="Century Gothic" w:cs="Arial"/>
        <w:sz w:val="16"/>
        <w:szCs w:val="16"/>
      </w:rPr>
      <w:fldChar w:fldCharType="end"/>
    </w:r>
    <w:r w:rsidRPr="003D1983">
      <w:rPr>
        <w:rStyle w:val="PageNumber"/>
        <w:rFonts w:ascii="Century Gothic" w:hAnsi="Century Gothic" w:cs="Arial"/>
        <w:color w:val="000080"/>
        <w:sz w:val="16"/>
        <w:szCs w:val="16"/>
      </w:rPr>
      <w:t>/</w:t>
    </w:r>
    <w:r w:rsidRPr="003D1983">
      <w:rPr>
        <w:rStyle w:val="PageNumber"/>
        <w:rFonts w:ascii="Century Gothic" w:hAnsi="Century Gothic" w:cs="Arial"/>
        <w:sz w:val="16"/>
        <w:szCs w:val="16"/>
      </w:rPr>
      <w:fldChar w:fldCharType="begin"/>
    </w:r>
    <w:r w:rsidRPr="003D1983">
      <w:rPr>
        <w:rStyle w:val="PageNumber"/>
        <w:rFonts w:ascii="Century Gothic" w:hAnsi="Century Gothic" w:cs="Arial"/>
        <w:sz w:val="16"/>
        <w:szCs w:val="16"/>
      </w:rPr>
      <w:instrText xml:space="preserve"> NUMPAGES </w:instrText>
    </w:r>
    <w:r w:rsidRPr="003D1983">
      <w:rPr>
        <w:rStyle w:val="PageNumber"/>
        <w:rFonts w:ascii="Century Gothic" w:hAnsi="Century Gothic" w:cs="Arial"/>
        <w:sz w:val="16"/>
        <w:szCs w:val="16"/>
      </w:rPr>
      <w:fldChar w:fldCharType="separate"/>
    </w:r>
    <w:r w:rsidR="005C0142">
      <w:rPr>
        <w:rStyle w:val="PageNumber"/>
        <w:rFonts w:ascii="Century Gothic" w:hAnsi="Century Gothic" w:cs="Arial"/>
        <w:noProof/>
        <w:sz w:val="16"/>
        <w:szCs w:val="16"/>
      </w:rPr>
      <w:t>4</w:t>
    </w:r>
    <w:r w:rsidRPr="003D1983">
      <w:rPr>
        <w:rStyle w:val="PageNumber"/>
        <w:rFonts w:ascii="Century Gothic" w:hAnsi="Century Gothic" w:cs="Arial"/>
        <w:sz w:val="16"/>
        <w:szCs w:val="16"/>
      </w:rPr>
      <w:fldChar w:fldCharType="end"/>
    </w:r>
  </w:p>
  <w:p w:rsidR="00E56F2F" w:rsidRDefault="00E56F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76EE" w:rsidRDefault="00E476EE" w:rsidP="00AF6445">
      <w:pPr>
        <w:spacing w:after="0" w:line="240" w:lineRule="auto"/>
      </w:pPr>
      <w:r>
        <w:separator/>
      </w:r>
    </w:p>
  </w:footnote>
  <w:footnote w:type="continuationSeparator" w:id="0">
    <w:p w:rsidR="00E476EE" w:rsidRDefault="00E476EE" w:rsidP="00AF644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6F2F" w:rsidRDefault="00E56F2F" w:rsidP="00CD3975">
    <w:pPr>
      <w:pStyle w:val="Header"/>
    </w:pPr>
    <w:r w:rsidRPr="00103429">
      <w:rPr>
        <w:noProof/>
        <w:lang w:eastAsia="pt-PT"/>
      </w:rPr>
      <w:drawing>
        <wp:inline distT="0" distB="0" distL="0" distR="0">
          <wp:extent cx="771525" cy="723900"/>
          <wp:effectExtent l="19050" t="0" r="9525" b="0"/>
          <wp:docPr id="3" name="Picture 3"/>
          <wp:cNvGraphicFramePr/>
          <a:graphic xmlns:a="http://schemas.openxmlformats.org/drawingml/2006/main">
            <a:graphicData uri="http://schemas.openxmlformats.org/drawingml/2006/picture">
              <pic:pic xmlns:pic="http://schemas.openxmlformats.org/drawingml/2006/picture">
                <pic:nvPicPr>
                  <pic:cNvPr id="1029"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723900"/>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a:graphicData>
          </a:graphic>
        </wp:inline>
      </w:drawing>
    </w:r>
  </w:p>
  <w:p w:rsidR="00E56F2F" w:rsidRPr="00176657" w:rsidRDefault="00E56F2F">
    <w:pPr>
      <w:pStyle w:val="Header"/>
      <w:rPr>
        <w:rFonts w:ascii="Century Gothic" w:hAnsi="Century Gothic"/>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B830A7"/>
    <w:multiLevelType w:val="hybridMultilevel"/>
    <w:tmpl w:val="3F3E9110"/>
    <w:lvl w:ilvl="0" w:tplc="3044ED98">
      <w:start w:val="1"/>
      <w:numFmt w:val="lowerLetter"/>
      <w:lvlText w:val="%1)"/>
      <w:lvlJc w:val="left"/>
      <w:pPr>
        <w:tabs>
          <w:tab w:val="num" w:pos="1440"/>
        </w:tabs>
        <w:ind w:left="1440" w:hanging="720"/>
      </w:pPr>
      <w:rPr>
        <w:rFonts w:hint="default"/>
      </w:rPr>
    </w:lvl>
    <w:lvl w:ilvl="1" w:tplc="08160019" w:tentative="1">
      <w:start w:val="1"/>
      <w:numFmt w:val="lowerLetter"/>
      <w:lvlText w:val="%2."/>
      <w:lvlJc w:val="left"/>
      <w:pPr>
        <w:tabs>
          <w:tab w:val="num" w:pos="1800"/>
        </w:tabs>
        <w:ind w:left="1800" w:hanging="360"/>
      </w:pPr>
    </w:lvl>
    <w:lvl w:ilvl="2" w:tplc="0816001B" w:tentative="1">
      <w:start w:val="1"/>
      <w:numFmt w:val="lowerRoman"/>
      <w:lvlText w:val="%3."/>
      <w:lvlJc w:val="right"/>
      <w:pPr>
        <w:tabs>
          <w:tab w:val="num" w:pos="2520"/>
        </w:tabs>
        <w:ind w:left="2520" w:hanging="180"/>
      </w:pPr>
    </w:lvl>
    <w:lvl w:ilvl="3" w:tplc="0816000F" w:tentative="1">
      <w:start w:val="1"/>
      <w:numFmt w:val="decimal"/>
      <w:lvlText w:val="%4."/>
      <w:lvlJc w:val="left"/>
      <w:pPr>
        <w:tabs>
          <w:tab w:val="num" w:pos="3240"/>
        </w:tabs>
        <w:ind w:left="3240" w:hanging="360"/>
      </w:pPr>
    </w:lvl>
    <w:lvl w:ilvl="4" w:tplc="08160019" w:tentative="1">
      <w:start w:val="1"/>
      <w:numFmt w:val="lowerLetter"/>
      <w:lvlText w:val="%5."/>
      <w:lvlJc w:val="left"/>
      <w:pPr>
        <w:tabs>
          <w:tab w:val="num" w:pos="3960"/>
        </w:tabs>
        <w:ind w:left="3960" w:hanging="360"/>
      </w:pPr>
    </w:lvl>
    <w:lvl w:ilvl="5" w:tplc="0816001B" w:tentative="1">
      <w:start w:val="1"/>
      <w:numFmt w:val="lowerRoman"/>
      <w:lvlText w:val="%6."/>
      <w:lvlJc w:val="right"/>
      <w:pPr>
        <w:tabs>
          <w:tab w:val="num" w:pos="4680"/>
        </w:tabs>
        <w:ind w:left="4680" w:hanging="180"/>
      </w:pPr>
    </w:lvl>
    <w:lvl w:ilvl="6" w:tplc="0816000F" w:tentative="1">
      <w:start w:val="1"/>
      <w:numFmt w:val="decimal"/>
      <w:lvlText w:val="%7."/>
      <w:lvlJc w:val="left"/>
      <w:pPr>
        <w:tabs>
          <w:tab w:val="num" w:pos="5400"/>
        </w:tabs>
        <w:ind w:left="5400" w:hanging="360"/>
      </w:pPr>
    </w:lvl>
    <w:lvl w:ilvl="7" w:tplc="08160019" w:tentative="1">
      <w:start w:val="1"/>
      <w:numFmt w:val="lowerLetter"/>
      <w:lvlText w:val="%8."/>
      <w:lvlJc w:val="left"/>
      <w:pPr>
        <w:tabs>
          <w:tab w:val="num" w:pos="6120"/>
        </w:tabs>
        <w:ind w:left="6120" w:hanging="360"/>
      </w:pPr>
    </w:lvl>
    <w:lvl w:ilvl="8" w:tplc="0816001B" w:tentative="1">
      <w:start w:val="1"/>
      <w:numFmt w:val="lowerRoman"/>
      <w:lvlText w:val="%9."/>
      <w:lvlJc w:val="right"/>
      <w:pPr>
        <w:tabs>
          <w:tab w:val="num" w:pos="6840"/>
        </w:tabs>
        <w:ind w:left="6840" w:hanging="180"/>
      </w:pPr>
    </w:lvl>
  </w:abstractNum>
  <w:abstractNum w:abstractNumId="1" w15:restartNumberingAfterBreak="0">
    <w:nsid w:val="2626420D"/>
    <w:multiLevelType w:val="hybridMultilevel"/>
    <w:tmpl w:val="50D8DEBE"/>
    <w:lvl w:ilvl="0" w:tplc="EE7ED95A">
      <w:start w:val="1"/>
      <w:numFmt w:val="lowerLetter"/>
      <w:lvlText w:val="%1)"/>
      <w:lvlJc w:val="left"/>
      <w:pPr>
        <w:tabs>
          <w:tab w:val="num" w:pos="720"/>
        </w:tabs>
        <w:ind w:left="720" w:hanging="360"/>
      </w:pPr>
      <w:rPr>
        <w:rFonts w:hint="default"/>
      </w:rPr>
    </w:lvl>
    <w:lvl w:ilvl="1" w:tplc="08160019">
      <w:start w:val="1"/>
      <w:numFmt w:val="lowerLetter"/>
      <w:lvlText w:val="%2."/>
      <w:lvlJc w:val="left"/>
      <w:pPr>
        <w:tabs>
          <w:tab w:val="num" w:pos="1440"/>
        </w:tabs>
        <w:ind w:left="1440" w:hanging="360"/>
      </w:pPr>
    </w:lvl>
    <w:lvl w:ilvl="2" w:tplc="0816001B" w:tentative="1">
      <w:start w:val="1"/>
      <w:numFmt w:val="lowerRoman"/>
      <w:lvlText w:val="%3."/>
      <w:lvlJc w:val="right"/>
      <w:pPr>
        <w:tabs>
          <w:tab w:val="num" w:pos="2160"/>
        </w:tabs>
        <w:ind w:left="2160" w:hanging="180"/>
      </w:pPr>
    </w:lvl>
    <w:lvl w:ilvl="3" w:tplc="0816000F" w:tentative="1">
      <w:start w:val="1"/>
      <w:numFmt w:val="decimal"/>
      <w:lvlText w:val="%4."/>
      <w:lvlJc w:val="left"/>
      <w:pPr>
        <w:tabs>
          <w:tab w:val="num" w:pos="2880"/>
        </w:tabs>
        <w:ind w:left="2880" w:hanging="360"/>
      </w:pPr>
    </w:lvl>
    <w:lvl w:ilvl="4" w:tplc="08160019" w:tentative="1">
      <w:start w:val="1"/>
      <w:numFmt w:val="lowerLetter"/>
      <w:lvlText w:val="%5."/>
      <w:lvlJc w:val="left"/>
      <w:pPr>
        <w:tabs>
          <w:tab w:val="num" w:pos="3600"/>
        </w:tabs>
        <w:ind w:left="3600" w:hanging="360"/>
      </w:pPr>
    </w:lvl>
    <w:lvl w:ilvl="5" w:tplc="0816001B" w:tentative="1">
      <w:start w:val="1"/>
      <w:numFmt w:val="lowerRoman"/>
      <w:lvlText w:val="%6."/>
      <w:lvlJc w:val="right"/>
      <w:pPr>
        <w:tabs>
          <w:tab w:val="num" w:pos="4320"/>
        </w:tabs>
        <w:ind w:left="4320" w:hanging="180"/>
      </w:pPr>
    </w:lvl>
    <w:lvl w:ilvl="6" w:tplc="0816000F" w:tentative="1">
      <w:start w:val="1"/>
      <w:numFmt w:val="decimal"/>
      <w:lvlText w:val="%7."/>
      <w:lvlJc w:val="left"/>
      <w:pPr>
        <w:tabs>
          <w:tab w:val="num" w:pos="5040"/>
        </w:tabs>
        <w:ind w:left="5040" w:hanging="360"/>
      </w:pPr>
    </w:lvl>
    <w:lvl w:ilvl="7" w:tplc="08160019" w:tentative="1">
      <w:start w:val="1"/>
      <w:numFmt w:val="lowerLetter"/>
      <w:lvlText w:val="%8."/>
      <w:lvlJc w:val="left"/>
      <w:pPr>
        <w:tabs>
          <w:tab w:val="num" w:pos="5760"/>
        </w:tabs>
        <w:ind w:left="5760" w:hanging="360"/>
      </w:pPr>
    </w:lvl>
    <w:lvl w:ilvl="8" w:tplc="0816001B" w:tentative="1">
      <w:start w:val="1"/>
      <w:numFmt w:val="lowerRoman"/>
      <w:lvlText w:val="%9."/>
      <w:lvlJc w:val="right"/>
      <w:pPr>
        <w:tabs>
          <w:tab w:val="num" w:pos="6480"/>
        </w:tabs>
        <w:ind w:left="6480" w:hanging="180"/>
      </w:pPr>
    </w:lvl>
  </w:abstractNum>
  <w:abstractNum w:abstractNumId="2" w15:restartNumberingAfterBreak="0">
    <w:nsid w:val="2A5E13E7"/>
    <w:multiLevelType w:val="hybridMultilevel"/>
    <w:tmpl w:val="DA9ACF44"/>
    <w:lvl w:ilvl="0" w:tplc="EE7ED95A">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 w15:restartNumberingAfterBreak="0">
    <w:nsid w:val="4BB511D7"/>
    <w:multiLevelType w:val="hybridMultilevel"/>
    <w:tmpl w:val="DA9ACF44"/>
    <w:lvl w:ilvl="0" w:tplc="EE7ED95A">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4" w15:restartNumberingAfterBreak="0">
    <w:nsid w:val="4D2D7222"/>
    <w:multiLevelType w:val="hybridMultilevel"/>
    <w:tmpl w:val="74F438AE"/>
    <w:lvl w:ilvl="0" w:tplc="0816000F">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5" w15:restartNumberingAfterBreak="0">
    <w:nsid w:val="597235AA"/>
    <w:multiLevelType w:val="hybridMultilevel"/>
    <w:tmpl w:val="1688B44E"/>
    <w:lvl w:ilvl="0" w:tplc="AC7453C2">
      <w:start w:val="1"/>
      <w:numFmt w:val="lowerRoman"/>
      <w:lvlText w:val="(%1)"/>
      <w:lvlJc w:val="left"/>
      <w:pPr>
        <w:ind w:left="1080" w:hanging="72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6" w15:restartNumberingAfterBreak="0">
    <w:nsid w:val="65F94B5E"/>
    <w:multiLevelType w:val="hybridMultilevel"/>
    <w:tmpl w:val="07D03942"/>
    <w:lvl w:ilvl="0" w:tplc="6E7019C6">
      <w:start w:val="1"/>
      <w:numFmt w:val="lowerRoman"/>
      <w:lvlText w:val="(%1)"/>
      <w:lvlJc w:val="left"/>
      <w:pPr>
        <w:ind w:left="1080" w:hanging="72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7" w15:restartNumberingAfterBreak="0">
    <w:nsid w:val="6800194A"/>
    <w:multiLevelType w:val="hybridMultilevel"/>
    <w:tmpl w:val="3FE0D3A6"/>
    <w:lvl w:ilvl="0" w:tplc="88AEE394">
      <w:start w:val="1"/>
      <w:numFmt w:val="decimal"/>
      <w:lvlText w:val="(%1)"/>
      <w:lvlJc w:val="left"/>
      <w:pPr>
        <w:ind w:left="360" w:hanging="360"/>
      </w:pPr>
      <w:rPr>
        <w:rFonts w:hint="default"/>
      </w:rPr>
    </w:lvl>
    <w:lvl w:ilvl="1" w:tplc="08160019" w:tentative="1">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8" w15:restartNumberingAfterBreak="0">
    <w:nsid w:val="6A602988"/>
    <w:multiLevelType w:val="hybridMultilevel"/>
    <w:tmpl w:val="E6B65582"/>
    <w:lvl w:ilvl="0" w:tplc="D0EA267E">
      <w:start w:val="1"/>
      <w:numFmt w:val="lowerLetter"/>
      <w:lvlText w:val="%1)"/>
      <w:lvlJc w:val="left"/>
      <w:pPr>
        <w:ind w:left="720" w:hanging="360"/>
      </w:pPr>
      <w:rPr>
        <w:rFonts w:hint="default"/>
        <w:b w:val="0"/>
        <w:i/>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9" w15:restartNumberingAfterBreak="0">
    <w:nsid w:val="6C2E6134"/>
    <w:multiLevelType w:val="hybridMultilevel"/>
    <w:tmpl w:val="6C266BD8"/>
    <w:lvl w:ilvl="0" w:tplc="722683F2">
      <w:start w:val="3"/>
      <w:numFmt w:val="decimal"/>
      <w:lvlText w:val="%1."/>
      <w:lvlJc w:val="left"/>
      <w:pPr>
        <w:ind w:left="360" w:hanging="360"/>
      </w:pPr>
      <w:rPr>
        <w:rFonts w:hint="default"/>
        <w:b/>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160019" w:tentative="1">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10" w15:restartNumberingAfterBreak="0">
    <w:nsid w:val="785355F4"/>
    <w:multiLevelType w:val="hybridMultilevel"/>
    <w:tmpl w:val="5B5A17F8"/>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10"/>
  </w:num>
  <w:num w:numId="4">
    <w:abstractNumId w:val="8"/>
  </w:num>
  <w:num w:numId="5">
    <w:abstractNumId w:val="2"/>
  </w:num>
  <w:num w:numId="6">
    <w:abstractNumId w:val="0"/>
  </w:num>
  <w:num w:numId="7">
    <w:abstractNumId w:val="9"/>
  </w:num>
  <w:num w:numId="8">
    <w:abstractNumId w:val="4"/>
  </w:num>
  <w:num w:numId="9">
    <w:abstractNumId w:val="6"/>
  </w:num>
  <w:num w:numId="10">
    <w:abstractNumId w:val="5"/>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351E"/>
    <w:rsid w:val="00024002"/>
    <w:rsid w:val="00045283"/>
    <w:rsid w:val="00060B6E"/>
    <w:rsid w:val="00067FF4"/>
    <w:rsid w:val="00075EAE"/>
    <w:rsid w:val="00096306"/>
    <w:rsid w:val="000C7C36"/>
    <w:rsid w:val="000C7D73"/>
    <w:rsid w:val="00103429"/>
    <w:rsid w:val="00104F7C"/>
    <w:rsid w:val="001117C6"/>
    <w:rsid w:val="001342F2"/>
    <w:rsid w:val="00143157"/>
    <w:rsid w:val="001607E9"/>
    <w:rsid w:val="00170F72"/>
    <w:rsid w:val="00176657"/>
    <w:rsid w:val="001768FD"/>
    <w:rsid w:val="00176C48"/>
    <w:rsid w:val="00190DA5"/>
    <w:rsid w:val="001A59A3"/>
    <w:rsid w:val="001B2FFF"/>
    <w:rsid w:val="001B40A2"/>
    <w:rsid w:val="001D3E14"/>
    <w:rsid w:val="001D75AA"/>
    <w:rsid w:val="001E1904"/>
    <w:rsid w:val="00200AB1"/>
    <w:rsid w:val="00213868"/>
    <w:rsid w:val="00221FE1"/>
    <w:rsid w:val="00241814"/>
    <w:rsid w:val="00242801"/>
    <w:rsid w:val="00260D59"/>
    <w:rsid w:val="002753E4"/>
    <w:rsid w:val="002829A2"/>
    <w:rsid w:val="002B028D"/>
    <w:rsid w:val="002E0316"/>
    <w:rsid w:val="002E3C3E"/>
    <w:rsid w:val="0030741B"/>
    <w:rsid w:val="00367FD5"/>
    <w:rsid w:val="00393206"/>
    <w:rsid w:val="003974CA"/>
    <w:rsid w:val="003A5D0B"/>
    <w:rsid w:val="003A7A57"/>
    <w:rsid w:val="003D0732"/>
    <w:rsid w:val="003E3AF0"/>
    <w:rsid w:val="003F1B77"/>
    <w:rsid w:val="003F1E93"/>
    <w:rsid w:val="003F444A"/>
    <w:rsid w:val="00431A37"/>
    <w:rsid w:val="0045202D"/>
    <w:rsid w:val="0045531C"/>
    <w:rsid w:val="0046341F"/>
    <w:rsid w:val="00473BA5"/>
    <w:rsid w:val="004826C8"/>
    <w:rsid w:val="004B0C3D"/>
    <w:rsid w:val="004D6C10"/>
    <w:rsid w:val="004F2852"/>
    <w:rsid w:val="004F498C"/>
    <w:rsid w:val="005010F2"/>
    <w:rsid w:val="00511190"/>
    <w:rsid w:val="00512BE8"/>
    <w:rsid w:val="00522F1C"/>
    <w:rsid w:val="005A2F8F"/>
    <w:rsid w:val="005A4EDB"/>
    <w:rsid w:val="005C0142"/>
    <w:rsid w:val="005F31AC"/>
    <w:rsid w:val="0060648F"/>
    <w:rsid w:val="0062507D"/>
    <w:rsid w:val="00662BF5"/>
    <w:rsid w:val="00676915"/>
    <w:rsid w:val="0067794A"/>
    <w:rsid w:val="006834EE"/>
    <w:rsid w:val="00686185"/>
    <w:rsid w:val="00686784"/>
    <w:rsid w:val="00687841"/>
    <w:rsid w:val="006A669F"/>
    <w:rsid w:val="006C351E"/>
    <w:rsid w:val="00700FCE"/>
    <w:rsid w:val="00732899"/>
    <w:rsid w:val="00737020"/>
    <w:rsid w:val="007B3254"/>
    <w:rsid w:val="007E32F8"/>
    <w:rsid w:val="007F005E"/>
    <w:rsid w:val="007F33FF"/>
    <w:rsid w:val="0081257C"/>
    <w:rsid w:val="00835C58"/>
    <w:rsid w:val="00870578"/>
    <w:rsid w:val="008D4C9F"/>
    <w:rsid w:val="008E348B"/>
    <w:rsid w:val="008E386C"/>
    <w:rsid w:val="008E6D6F"/>
    <w:rsid w:val="008F3A6D"/>
    <w:rsid w:val="008F723B"/>
    <w:rsid w:val="00903F51"/>
    <w:rsid w:val="00914030"/>
    <w:rsid w:val="0091637A"/>
    <w:rsid w:val="009538E0"/>
    <w:rsid w:val="00964E3A"/>
    <w:rsid w:val="00971ABA"/>
    <w:rsid w:val="00980653"/>
    <w:rsid w:val="00990502"/>
    <w:rsid w:val="009B4FFB"/>
    <w:rsid w:val="009C164D"/>
    <w:rsid w:val="009D1835"/>
    <w:rsid w:val="00A10BEF"/>
    <w:rsid w:val="00A31128"/>
    <w:rsid w:val="00A36DB8"/>
    <w:rsid w:val="00A5699C"/>
    <w:rsid w:val="00A857D0"/>
    <w:rsid w:val="00AB24F3"/>
    <w:rsid w:val="00AC3A5F"/>
    <w:rsid w:val="00AC40AB"/>
    <w:rsid w:val="00AD3436"/>
    <w:rsid w:val="00AE1DD8"/>
    <w:rsid w:val="00AE7221"/>
    <w:rsid w:val="00AF6445"/>
    <w:rsid w:val="00B12E36"/>
    <w:rsid w:val="00B14AA0"/>
    <w:rsid w:val="00B15611"/>
    <w:rsid w:val="00B26942"/>
    <w:rsid w:val="00B27E96"/>
    <w:rsid w:val="00B301A4"/>
    <w:rsid w:val="00B33740"/>
    <w:rsid w:val="00B5146F"/>
    <w:rsid w:val="00B814E1"/>
    <w:rsid w:val="00B87EF8"/>
    <w:rsid w:val="00BC3D58"/>
    <w:rsid w:val="00BE2BDB"/>
    <w:rsid w:val="00BE5975"/>
    <w:rsid w:val="00C172D6"/>
    <w:rsid w:val="00C53BD8"/>
    <w:rsid w:val="00C63D3D"/>
    <w:rsid w:val="00C838F7"/>
    <w:rsid w:val="00CC07B1"/>
    <w:rsid w:val="00CC58C9"/>
    <w:rsid w:val="00CD3975"/>
    <w:rsid w:val="00CD611F"/>
    <w:rsid w:val="00CE03E8"/>
    <w:rsid w:val="00CE1EC1"/>
    <w:rsid w:val="00D06AE6"/>
    <w:rsid w:val="00D22B35"/>
    <w:rsid w:val="00D24C26"/>
    <w:rsid w:val="00D26FEF"/>
    <w:rsid w:val="00D521E6"/>
    <w:rsid w:val="00D60B38"/>
    <w:rsid w:val="00D65770"/>
    <w:rsid w:val="00D748DE"/>
    <w:rsid w:val="00DC0A55"/>
    <w:rsid w:val="00DD5994"/>
    <w:rsid w:val="00DF7E84"/>
    <w:rsid w:val="00E00D08"/>
    <w:rsid w:val="00E03280"/>
    <w:rsid w:val="00E03734"/>
    <w:rsid w:val="00E370E5"/>
    <w:rsid w:val="00E476EE"/>
    <w:rsid w:val="00E56F2F"/>
    <w:rsid w:val="00E623D2"/>
    <w:rsid w:val="00E66057"/>
    <w:rsid w:val="00E726AF"/>
    <w:rsid w:val="00E72F15"/>
    <w:rsid w:val="00E81F30"/>
    <w:rsid w:val="00E90A4F"/>
    <w:rsid w:val="00EC2BB2"/>
    <w:rsid w:val="00ED0A50"/>
    <w:rsid w:val="00ED4E2C"/>
    <w:rsid w:val="00ED72CC"/>
    <w:rsid w:val="00EE5404"/>
    <w:rsid w:val="00EF58EE"/>
    <w:rsid w:val="00F0112F"/>
    <w:rsid w:val="00F11F1A"/>
    <w:rsid w:val="00F20F26"/>
    <w:rsid w:val="00F23D6C"/>
    <w:rsid w:val="00F563A1"/>
    <w:rsid w:val="00F61C92"/>
    <w:rsid w:val="00FB3583"/>
    <w:rsid w:val="00FC1063"/>
    <w:rsid w:val="00FC1E2C"/>
    <w:rsid w:val="00FC5710"/>
    <w:rsid w:val="00FD68D7"/>
    <w:rsid w:val="00FE1D84"/>
    <w:rsid w:val="00FF1F7F"/>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586B9257-9175-4FCC-BDC8-C1A29F680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1A3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C351E"/>
    <w:pPr>
      <w:autoSpaceDE w:val="0"/>
      <w:autoSpaceDN w:val="0"/>
      <w:adjustRightInd w:val="0"/>
      <w:spacing w:after="0" w:line="240" w:lineRule="auto"/>
    </w:pPr>
    <w:rPr>
      <w:rFonts w:ascii="Segoe UI" w:hAnsi="Segoe UI" w:cs="Segoe UI"/>
      <w:color w:val="000000"/>
      <w:sz w:val="24"/>
      <w:szCs w:val="24"/>
    </w:rPr>
  </w:style>
  <w:style w:type="paragraph" w:styleId="ListParagraph">
    <w:name w:val="List Paragraph"/>
    <w:basedOn w:val="Normal"/>
    <w:uiPriority w:val="34"/>
    <w:qFormat/>
    <w:rsid w:val="0046341F"/>
    <w:pPr>
      <w:ind w:left="720"/>
      <w:contextualSpacing/>
    </w:pPr>
  </w:style>
  <w:style w:type="paragraph" w:styleId="Header">
    <w:name w:val="header"/>
    <w:basedOn w:val="Normal"/>
    <w:link w:val="HeaderChar"/>
    <w:uiPriority w:val="99"/>
    <w:unhideWhenUsed/>
    <w:rsid w:val="00AF6445"/>
    <w:pPr>
      <w:tabs>
        <w:tab w:val="center" w:pos="4252"/>
        <w:tab w:val="right" w:pos="8504"/>
      </w:tabs>
      <w:spacing w:after="0" w:line="240" w:lineRule="auto"/>
    </w:pPr>
  </w:style>
  <w:style w:type="character" w:customStyle="1" w:styleId="HeaderChar">
    <w:name w:val="Header Char"/>
    <w:basedOn w:val="DefaultParagraphFont"/>
    <w:link w:val="Header"/>
    <w:uiPriority w:val="99"/>
    <w:rsid w:val="00AF6445"/>
  </w:style>
  <w:style w:type="paragraph" w:styleId="Footer">
    <w:name w:val="footer"/>
    <w:basedOn w:val="Normal"/>
    <w:link w:val="FooterChar"/>
    <w:unhideWhenUsed/>
    <w:rsid w:val="00AF6445"/>
    <w:pPr>
      <w:tabs>
        <w:tab w:val="center" w:pos="4252"/>
        <w:tab w:val="right" w:pos="8504"/>
      </w:tabs>
      <w:spacing w:after="0" w:line="240" w:lineRule="auto"/>
    </w:pPr>
  </w:style>
  <w:style w:type="character" w:customStyle="1" w:styleId="FooterChar">
    <w:name w:val="Footer Char"/>
    <w:basedOn w:val="DefaultParagraphFont"/>
    <w:link w:val="Footer"/>
    <w:rsid w:val="00AF6445"/>
  </w:style>
  <w:style w:type="paragraph" w:styleId="BalloonText">
    <w:name w:val="Balloon Text"/>
    <w:basedOn w:val="Normal"/>
    <w:link w:val="BalloonTextChar"/>
    <w:uiPriority w:val="99"/>
    <w:semiHidden/>
    <w:unhideWhenUsed/>
    <w:rsid w:val="00AF64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6445"/>
    <w:rPr>
      <w:rFonts w:ascii="Tahoma" w:hAnsi="Tahoma" w:cs="Tahoma"/>
      <w:sz w:val="16"/>
      <w:szCs w:val="16"/>
    </w:rPr>
  </w:style>
  <w:style w:type="character" w:styleId="PageNumber">
    <w:name w:val="page number"/>
    <w:basedOn w:val="DefaultParagraphFont"/>
    <w:rsid w:val="00686185"/>
  </w:style>
  <w:style w:type="paragraph" w:styleId="CommentText">
    <w:name w:val="annotation text"/>
    <w:basedOn w:val="Normal"/>
    <w:link w:val="CommentTextChar"/>
    <w:semiHidden/>
    <w:rsid w:val="001117C6"/>
    <w:pPr>
      <w:spacing w:after="0" w:line="240" w:lineRule="auto"/>
      <w:jc w:val="both"/>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semiHidden/>
    <w:rsid w:val="001117C6"/>
    <w:rPr>
      <w:rFonts w:ascii="Times New Roman" w:eastAsia="Times New Roman" w:hAnsi="Times New Roman" w:cs="Times New Roman"/>
      <w:sz w:val="20"/>
      <w:szCs w:val="20"/>
      <w:lang w:val="en-US"/>
    </w:rPr>
  </w:style>
  <w:style w:type="character" w:styleId="Hyperlink">
    <w:name w:val="Hyperlink"/>
    <w:basedOn w:val="DefaultParagraphFont"/>
    <w:uiPriority w:val="99"/>
    <w:unhideWhenUsed/>
    <w:rsid w:val="003F1B7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9823714">
      <w:bodyDiv w:val="1"/>
      <w:marLeft w:val="0"/>
      <w:marRight w:val="0"/>
      <w:marTop w:val="0"/>
      <w:marBottom w:val="0"/>
      <w:divBdr>
        <w:top w:val="none" w:sz="0" w:space="0" w:color="auto"/>
        <w:left w:val="none" w:sz="0" w:space="0" w:color="auto"/>
        <w:bottom w:val="none" w:sz="0" w:space="0" w:color="auto"/>
        <w:right w:val="none" w:sz="0" w:space="0" w:color="auto"/>
      </w:divBdr>
    </w:div>
    <w:div w:id="529994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Type="http://www.w3.org/2000/09/xmldsig#Object" URI="#idPackageObject">
      <DigestMethod Algorithm="http://www.w3.org/2000/09/xmldsig#sha1"/>
      <DigestValue>6ph38Q+1oexjwXu8PVEDw/BjpV8=</DigestValue>
    </Reference>
    <Reference Type="http://www.w3.org/2000/09/xmldsig#Object" URI="#idOfficeObject">
      <DigestMethod Algorithm="http://www.w3.org/2000/09/xmldsig#sha1"/>
      <DigestValue>vxo5d8Y3id2w5Ngt/xb5s7xO8tQ=</DigestValue>
    </Reference>
    <Reference Type="http://uri.etsi.org/01903#SignedProperties" URI="#idSignedProperties">
      <Transforms>
        <Transform Algorithm="http://www.w3.org/TR/2001/REC-xml-c14n-20010315"/>
      </Transforms>
      <DigestMethod Algorithm="http://www.w3.org/2000/09/xmldsig#sha1"/>
      <DigestValue>UTiNr7ku2n9lEyr0Y9Uf0rxQIfE=</DigestValue>
    </Reference>
  </SignedInfo>
  <SignatureValue>QktCjhRdx9OergXBHf7Mqp1/XsnwT7jjrfEmrT7V4tn2ILDob/sPuxGh8G1mopXZhI7fJcwIY0cV
0omzzNM0bXPuVjcMXjt+NzasyiA+k/fOVNerM5VVna+x0E2PX3ZvPcqEuDwFrf6HUMhBNAePB/ay
Zetx8q+ohXIiy+sAKuHpF6yrdmt8YHhuldbzrDS44LB5jXXESMx+s6LKciMDVAoqARDu4n5xziST
KqYk8apCeaUfUd+R7tgTtMRPD0lT8bmgFa4VMN40F3kzW6XUqDCRxZW5uiO7ML2Mh1wycsgiH91v
Rp7J0DYnpi9K44lxHfivQ/1oMGiz1R5Qio7slA==</SignatureValue>
  <KeyInfo>
    <X509Data>
      <X509Certificate>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Transform>
          <Transform Algorithm="http://www.w3.org/TR/2001/REC-xml-c14n-20010315"/>
        </Transforms>
        <DigestMethod Algorithm="http://www.w3.org/2000/09/xmldsig#sha1"/>
        <DigestValue>+HI9mMlwkvzRkxLsYDY7BgoH0Uk=</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+DWasIt46J9kWGyxoP3pos6rwyo=</DigestValue>
      </Reference>
      <Reference URI="/word/document.xml?ContentType=application/vnd.openxmlformats-officedocument.wordprocessingml.document.main+xml">
        <DigestMethod Algorithm="http://www.w3.org/2000/09/xmldsig#sha1"/>
        <DigestValue>cR4qCIIvf6vExSgjFVRgzeTLxiY=</DigestValue>
      </Reference>
      <Reference URI="/word/endnotes.xml?ContentType=application/vnd.openxmlformats-officedocument.wordprocessingml.endnotes+xml">
        <DigestMethod Algorithm="http://www.w3.org/2000/09/xmldsig#sha1"/>
        <DigestValue>FOI1mtUpiz+AAy5XT2cuqGU8s68=</DigestValue>
      </Reference>
      <Reference URI="/word/fontTable.xml?ContentType=application/vnd.openxmlformats-officedocument.wordprocessingml.fontTable+xml">
        <DigestMethod Algorithm="http://www.w3.org/2000/09/xmldsig#sha1"/>
        <DigestValue>arxNzn19/Ddv4D3jF5+TBM/rF/c=</DigestValue>
      </Reference>
      <Reference URI="/word/footer1.xml?ContentType=application/vnd.openxmlformats-officedocument.wordprocessingml.footer+xml">
        <DigestMethod Algorithm="http://www.w3.org/2000/09/xmldsig#sha1"/>
        <DigestValue>L4iNpDqV4+MLeW54C7UJjFAob/0=</DigestValue>
      </Reference>
      <Reference URI="/word/footnotes.xml?ContentType=application/vnd.openxmlformats-officedocument.wordprocessingml.footnotes+xml">
        <DigestMethod Algorithm="http://www.w3.org/2000/09/xmldsig#sha1"/>
        <DigestValue>sB8ZuJhFncXaNUWGYRZfezfuP+I=</DigestValue>
      </Reference>
      <Reference URI="/word/header1.xml?ContentType=application/vnd.openxmlformats-officedocument.wordprocessingml.header+xml">
        <DigestMethod Algorithm="http://www.w3.org/2000/09/xmldsig#sha1"/>
        <DigestValue>0IBTEs3Dmou2iJqvkeUjuYLqyBM=</DigestValue>
      </Reference>
      <Reference URI="/word/media/image1.emf?ContentType=image/x-emf">
        <DigestMethod Algorithm="http://www.w3.org/2000/09/xmldsig#sha1"/>
        <DigestValue>t6Z2LkWd91lNfR+vzomGUyfadYk=</DigestValue>
      </Reference>
      <Reference URI="/word/media/image2.png?ContentType=image/png">
        <DigestMethod Algorithm="http://www.w3.org/2000/09/xmldsig#sha1"/>
        <DigestValue>Lo+N9CSlOQzonNW51NqiWxRDIrE=</DigestValue>
      </Reference>
      <Reference URI="/word/numbering.xml?ContentType=application/vnd.openxmlformats-officedocument.wordprocessingml.numbering+xml">
        <DigestMethod Algorithm="http://www.w3.org/2000/09/xmldsig#sha1"/>
        <DigestValue>D458A/ha7TbjPgpevZQlnng3orA=</DigestValue>
      </Reference>
      <Reference URI="/word/settings.xml?ContentType=application/vnd.openxmlformats-officedocument.wordprocessingml.settings+xml">
        <DigestMethod Algorithm="http://www.w3.org/2000/09/xmldsig#sha1"/>
        <DigestValue>ITQ9AyXAKiEbmWpdvVTuLRUZMnw=</DigestValue>
      </Reference>
      <Reference URI="/word/styles.xml?ContentType=application/vnd.openxmlformats-officedocument.wordprocessingml.styles+xml">
        <DigestMethod Algorithm="http://www.w3.org/2000/09/xmldsig#sha1"/>
        <DigestValue>ufsv/Es6w6947XIglu/IsPAV4/A=</DigestValue>
      </Reference>
      <Reference URI="/word/theme/theme1.xml?ContentType=application/vnd.openxmlformats-officedocument.theme+xml">
        <DigestMethod Algorithm="http://www.w3.org/2000/09/xmldsig#sha1"/>
        <DigestValue>aed2ly2g7prYFMNM9yD108Dh+QE=</DigestValue>
      </Reference>
      <Reference URI="/word/webSettings.xml?ContentType=application/vnd.openxmlformats-officedocument.wordprocessingml.webSettings+xml">
        <DigestMethod Algorithm="http://www.w3.org/2000/09/xmldsig#sha1"/>
        <DigestValue>ymjMCynIoRgexkV+XUwon0PSlDk=</DigestValue>
      </Reference>
    </Manifest>
    <SignatureProperties>
      <SignatureProperty Id="idSignatureTime" Target="#idPackageSignature">
        <mdssi:SignatureTime xmlns:mdssi="http://schemas.openxmlformats.org/package/2006/digital-signature">
          <mdssi:Format>YYYY-MM-DDThh:mm:ssTZD</mdssi:Format>
          <mdssi:Value>2016-05-19T10:05:40Z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15.0</OfficeVersion>
          <ApplicationVersion>15.0</ApplicationVersion>
          <Monitors>2</Monitors>
          <HorizontalResolution>1366</HorizontalResolution>
          <VerticalResolution>768</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2016-05-19T10:05:40Z</xd:SigningTime>
          <xd:SigningCertificate>
            <xd:Cert>
              <xd:CertDigest>
                <DigestMethod Algorithm="http://www.w3.org/2000/09/xmldsig#sha1"/>
                <DigestValue>8nUd4nEqSSeUAVpS0g8GpxUbtHg=</DigestValue>
              </xd:CertDigest>
              <xd:IssuerSerial>
                <X509IssuerName>CN=DigitalSign Qualified CA, OU=Class 2 Managed PKI Individual Subscriber CA, OU=Terms of use at https://www.trustwise.com/rpa (c)08, OU=VeriSign Trust Network, O=DigitalSign - Certificadora Digital, C=PT</X509IssuerName>
                <X509SerialNumber>137194921404825936393234616062724828533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</xd:EncapsulatedX509Certificate>
            <xd:EncapsulatedX509Certificate>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</xd:EncapsulatedX509Certificate>
            <xd:EncapsulatedX509Certificate>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</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C02894-4D28-49E6-A51E-DB399345C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Pages>
  <Words>1150</Words>
  <Characters>6211</Characters>
  <Application>Microsoft Office Word</Application>
  <DocSecurity>0</DocSecurity>
  <Lines>51</Lines>
  <Paragraphs>14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EDP - Energias de Portugal S.A.</Company>
  <LinksUpToDate>false</LinksUpToDate>
  <CharactersWithSpaces>7347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Tatiana Barros EXTERNO</cp:lastModifiedBy>
  <cp:revision>9</cp:revision>
  <cp:lastPrinted>2016-05-19T10:05:00Z</cp:lastPrinted>
  <dcterms:created xsi:type="dcterms:W3CDTF">2016-05-18T20:48:00Z</dcterms:created>
  <dcterms:modified xsi:type="dcterms:W3CDTF">2016-05-19T10:05:00Z</dcterms:modified>
</cp:coreProperties>
</file>